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200"/>
      </w:pPr>
      <w:r>
        <w:rPr>
          <w:b/>
          <w:bCs/>
          <w:color w:val="6B7177"/>
          <w:spacing w:val="40"/>
          <w:sz w:val="18"/>
          <w:szCs w:val="18"/>
        </w:rPr>
        <w:t xml:space="preserve">DOCUMENTO DEL PROCESO</w:t>
      </w:r>
    </w:p>
    <w:p>
      <w:pPr>
        <w:spacing w:after="200" w:line="264" w:lineRule="auto"/>
      </w:pPr>
      <w:r>
        <w:rPr>
          <w:b/>
          <w:bCs/>
          <w:color w:val="111111"/>
          <w:sz w:val="52"/>
          <w:szCs w:val="52"/>
        </w:rPr>
        <w:t xml:space="preserve">Conciliación bancaria mensual</w:t>
      </w:r>
    </w:p>
    <w:p>
      <w:pPr>
        <w:pBdr>
          <w:bottom w:val="single" w:color="F94202" w:sz="24" w:space="1"/>
        </w:pBdr>
        <w:spacing w:after="520" w:before="0" w:line="120" w:lineRule="exact"/>
        <w:ind w:right="8360"/>
      </w:pPr>
    </w:p>
    <w:tbl>
      <w:tblPr>
        <w:tblW w:type="dxa" w:w="9360"/>
        <w:tblBorders>
          <w:top w:val="single" w:color="DADEE2" w:sz="4"/>
          <w:left w:val="none" w:color="FFFFFF" w:sz="0"/>
          <w:bottom w:val="single" w:color="DADEE2" w:sz="4"/>
          <w:right w:val="none" w:color="FFFFFF" w:sz="0"/>
          <w:insideH w:val="single" w:color="DADEE2" w:sz="4"/>
          <w:insideV w:val="none" w:color="FFFFFF" w:sz="0"/>
        </w:tblBorders>
        <w:tblLayout w:type="fixed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Código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</w:rPr>
              <w:t xml:space="preserve">PR-CON-01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Versión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As-Is v1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Estado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Borrador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Dueño del proceso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Rosa Álvarez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Cliente del proceso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Gerencia financiera del cliente</w:t>
            </w:r>
            <w:r>
              <w:rPr>
                <w:color w:val="6B7177"/>
              </w:rPr>
              <w:t xml:space="preserve"> (externo)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Áreas que participan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Contabilidad, Tesorería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Generado el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24 sept 2026</w:t>
            </w:r>
          </w:p>
        </w:tc>
      </w:tr>
    </w:tbl>
    <w:p>
      <w:pPr>
        <w:spacing w:before="900"/>
      </w:pPr>
      <w:r>
        <w:rPr>
          <w:color w:val="6B7177"/>
          <w:sz w:val="16"/>
          <w:szCs w:val="16"/>
        </w:rPr>
        <w:t xml:space="preserve">Generado con Kaze · Captura de procesos.</w:t>
      </w:r>
    </w:p>
    <w:p>
      <w:pPr>
        <w:pageBreakBefore/>
        <w:spacing w:after="240"/>
      </w:pPr>
      <w:r>
        <w:rPr>
          <w:b/>
          <w:bCs/>
          <w:color w:val="111111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TOC1"/>
          </w:pPr>
          <w:hyperlink w:history="1" w:anchor="kz_t1">
            <w:r>
              <w:t xml:space="preserve">1. Objetivo</w:t>
            </w:r>
          </w:hyperlink>
        </w:p>
        <w:p>
          <w:pPr>
            <w:pStyle w:val="TOC1"/>
          </w:pPr>
          <w:hyperlink w:history="1" w:anchor="kz_t2">
            <w:r>
              <w:t xml:space="preserve">2. Alcance</w:t>
            </w:r>
          </w:hyperlink>
        </w:p>
        <w:p>
          <w:pPr>
            <w:pStyle w:val="TOC1"/>
          </w:pPr>
          <w:hyperlink w:history="1" w:anchor="kz_t3">
            <w:r>
              <w:t xml:space="preserve">3. SIPOC</w:t>
            </w:r>
          </w:hyperlink>
        </w:p>
        <w:p>
          <w:pPr>
            <w:pStyle w:val="TOC1"/>
          </w:pPr>
          <w:hyperlink w:history="1" w:anchor="kz_t4">
            <w:r>
              <w:t xml:space="preserve">4. Diagrama del proceso</w:t>
            </w:r>
          </w:hyperlink>
        </w:p>
        <w:p>
          <w:pPr>
            <w:pStyle w:val="TOC2"/>
          </w:pPr>
          <w:hyperlink w:history="1" w:anchor="kz_t5">
            <w:r>
              <w:t xml:space="preserve">4.1 Fase 1: Preparación</w:t>
            </w:r>
          </w:hyperlink>
        </w:p>
        <w:p>
          <w:pPr>
            <w:pStyle w:val="TOC2"/>
          </w:pPr>
          <w:hyperlink w:history="1" w:anchor="kz_t6">
            <w:r>
              <w:t xml:space="preserve">4.2 Fase 2: Cuadre</w:t>
            </w:r>
          </w:hyperlink>
        </w:p>
        <w:p>
          <w:pPr>
            <w:pStyle w:val="TOC2"/>
          </w:pPr>
          <w:hyperlink w:history="1" w:anchor="kz_t7">
            <w:r>
              <w:t xml:space="preserve">4.3 Fase 3: Cierre</w:t>
            </w:r>
          </w:hyperlink>
        </w:p>
        <w:p>
          <w:pPr>
            <w:pStyle w:val="TOC1"/>
          </w:pPr>
          <w:hyperlink w:history="1" w:anchor="kz_t8">
            <w:r>
              <w:t xml:space="preserve">5. El proceso paso a paso</w:t>
            </w:r>
          </w:hyperlink>
        </w:p>
        <w:p>
          <w:pPr>
            <w:pStyle w:val="TOC2"/>
          </w:pPr>
          <w:hyperlink w:history="1" w:anchor="kz_t9">
            <w:r>
              <w:t xml:space="preserve">5.1 Fase 1: Preparación</w:t>
            </w:r>
          </w:hyperlink>
        </w:p>
        <w:p>
          <w:pPr>
            <w:pStyle w:val="TOC2"/>
          </w:pPr>
          <w:hyperlink w:history="1" w:anchor="kz_t10">
            <w:r>
              <w:t xml:space="preserve">5.2 Fase 2: Cuadre</w:t>
            </w:r>
          </w:hyperlink>
        </w:p>
        <w:p>
          <w:pPr>
            <w:pStyle w:val="TOC2"/>
          </w:pPr>
          <w:hyperlink w:history="1" w:anchor="kz_t11">
            <w:r>
              <w:t xml:space="preserve">5.3 Fase 3: Cierre</w:t>
            </w:r>
          </w:hyperlink>
        </w:p>
        <w:p>
          <w:pPr>
            <w:pStyle w:val="TOC1"/>
          </w:pPr>
          <w:hyperlink w:history="1" w:anchor="kz_t12">
            <w:r>
              <w:t xml:space="preserve">6. Anexos</w:t>
            </w:r>
          </w:hyperlink>
        </w:p>
        <w:p>
          <w:pPr>
            <w:pStyle w:val="TOC2"/>
          </w:pPr>
          <w:hyperlink w:history="1" w:anchor="kz_anexos">
            <w:r>
              <w:t xml:space="preserve">6.1 Formatos</w:t>
            </w:r>
          </w:hyperlink>
        </w:p>
        <w:p>
          <w:pPr>
            <w:pStyle w:val="TOC2"/>
          </w:pPr>
          <w:hyperlink w:history="1" w:anchor="kz_t14">
            <w:r>
              <w:t xml:space="preserve">6.2 Ficha técnica de las actividades</w:t>
            </w:r>
          </w:hyperlink>
        </w:p>
        <w:p>
          <w:pPr>
            <w:pStyle w:val="TOC1"/>
          </w:pPr>
          <w:hyperlink w:history="1" w:anchor="kz_t23">
            <w:r>
              <w:t xml:space="preserve">7. Referencias</w:t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kz_t1" w:id="1"/>
      <w:r>
        <w:t xml:space="preserve">1. Objetivo</w:t>
      </w:r>
      <w:bookmarkEnd w:id="1"/>
    </w:p>
    <w:p>
      <w:pPr>
        <w:spacing w:after="110" w:before="0" w:line="288" w:lineRule="auto"/>
      </w:pPr>
      <w:r>
        <w:t xml:space="preserve">Cuadrar cada mes los extractos bancarios con la contabilidad y explicar toda diferencia antes del cierre.</w:t>
      </w:r>
    </w:p>
    <w:p>
      <w:pPr>
        <w:pStyle w:val="Heading1"/>
      </w:pPr>
      <w:bookmarkStart w:name="kz_t2" w:id="2"/>
      <w:r>
        <w:t xml:space="preserve">2. Alcance</w:t>
      </w:r>
      <w:bookmarkEnd w:id="2"/>
    </w:p>
    <w:p>
      <w:pPr>
        <w:spacing w:after="110" w:before="0" w:line="288" w:lineRule="auto"/>
      </w:pPr>
      <w:r>
        <w:t xml:space="preserve">Aplica a las cuentas corrientes y de ahorro en pesos de los clientes del despacho.</w:t>
      </w:r>
      <w:r>
        <w:t xml:space="preserve"> No incluye las cuentas en moneda extranjera y tarjetas de crédito.</w:t>
      </w:r>
    </w:p>
    <w:p>
      <w:pPr>
        <w:spacing w:after="110" w:before="0" w:line="288" w:lineRule="auto"/>
      </w:pPr>
      <w:r>
        <w:t xml:space="preserve">El proceso empieza cuando el banco publica el extracto del mes</w:t>
      </w:r>
      <w:r>
        <w:t xml:space="preserve"> (cada mes, hacia el tercer día hábil)</w:t>
      </w:r>
      <w:r>
        <w:t xml:space="preserve"> y termina con la conciliación aprobada y archivada.</w:t>
      </w:r>
    </w:p>
    <w:p>
      <w:pPr>
        <w:spacing w:after="110" w:before="0" w:line="288" w:lineRule="auto"/>
      </w:pPr>
      <w:r>
        <w:t xml:space="preserve">Participan el auxiliar contable, el sistema contable, el analista contable y el jefe de contabilidad, de las áreas de Contabilidad y Tesorería.</w:t>
      </w:r>
      <w:r>
        <w:t xml:space="preserve"> El resultado lo recibe la gerencia financiera del cliente, fuera de la organización.</w:t>
      </w:r>
    </w:p>
    <w:p>
      <w:pPr>
        <w:pStyle w:val="Heading1"/>
      </w:pPr>
      <w:bookmarkStart w:name="kz_t3" w:id="3"/>
      <w:r>
        <w:t xml:space="preserve">3. SIPOC</w:t>
      </w:r>
      <w:bookmarkEnd w:id="3"/>
    </w:p>
    <w:p>
      <w:pPr>
        <w:spacing w:after="110" w:before="0" w:line="288" w:lineRule="auto"/>
      </w:pPr>
      <w:r>
        <w:t xml:space="preserve">El proceso de un vistazo: quién entrega lo que necesita (proveedores), qué recibe (entradas), sus fases, qué produce (salidas) y quién lo recibe (clientes).</w:t>
      </w:r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ECEE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F94202"/>
                <w:sz w:val="32"/>
                <w:szCs w:val="32"/>
              </w:rPr>
              <w:t xml:space="preserve">S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Proveedores</w:t>
            </w:r>
          </w:p>
        </w:tc>
        <w:tc>
          <w:tcPr>
            <w:tcW w:type="dxa" w:w="1872"/>
            <w:shd w:fill="ECEE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F94202"/>
                <w:sz w:val="32"/>
                <w:szCs w:val="32"/>
              </w:rPr>
              <w:t xml:space="preserve">I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Entradas</w:t>
            </w:r>
          </w:p>
        </w:tc>
        <w:tc>
          <w:tcPr>
            <w:tcW w:type="dxa" w:w="1872"/>
            <w:shd w:fill="ECEE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F94202"/>
                <w:sz w:val="32"/>
                <w:szCs w:val="32"/>
              </w:rPr>
              <w:t xml:space="preserve">P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Proceso</w:t>
            </w:r>
          </w:p>
        </w:tc>
        <w:tc>
          <w:tcPr>
            <w:tcW w:type="dxa" w:w="1872"/>
            <w:shd w:fill="ECEE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F94202"/>
                <w:sz w:val="32"/>
                <w:szCs w:val="32"/>
              </w:rPr>
              <w:t xml:space="preserve">O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Salidas</w:t>
            </w:r>
          </w:p>
        </w:tc>
        <w:tc>
          <w:tcPr>
            <w:tcW w:type="dxa" w:w="1872"/>
            <w:shd w:fill="ECEE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F94202"/>
                <w:sz w:val="32"/>
                <w:szCs w:val="32"/>
              </w:rPr>
              <w:t xml:space="preserve">C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Clientes</w:t>
            </w:r>
          </w:p>
        </w:tc>
      </w:tr>
      <w:tr>
        <w:trPr>
          <w:cantSplit w:val="false"/>
        </w:trPr>
        <w:tc>
          <w:tcPr>
            <w:tcW w:type="dxa" w:w="187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Banco (portal empresarial)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Tesorería del cliente</w:t>
            </w:r>
          </w:p>
        </w:tc>
        <w:tc>
          <w:tcPr>
            <w:tcW w:type="dxa" w:w="187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Acceso al portal del banco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Respuesta del cliente</w:t>
            </w:r>
          </w:p>
        </w:tc>
        <w:tc>
          <w:tcPr>
            <w:tcW w:type="dxa" w:w="187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1. Preparación</w:t>
            </w:r>
            <w:r>
              <w:rPr>
                <w:color w:val="6B7177"/>
                <w:sz w:val="16"/>
                <w:szCs w:val="16"/>
              </w:rPr>
              <w:br/>
              <w:t xml:space="preserve">Pasos 1 a 2</w:t>
            </w:r>
          </w:p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2. Cuadre</w:t>
            </w:r>
            <w:r>
              <w:rPr>
                <w:color w:val="6B7177"/>
                <w:sz w:val="16"/>
                <w:szCs w:val="16"/>
              </w:rPr>
              <w:br/>
              <w:t xml:space="preserve">Pasos 3 a 5</w:t>
            </w:r>
          </w:p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3. Cierre</w:t>
            </w:r>
            <w:r>
              <w:rPr>
                <w:color w:val="6B7177"/>
                <w:sz w:val="16"/>
                <w:szCs w:val="16"/>
              </w:rPr>
              <w:br/>
              <w:t xml:space="preserve">Pasos 6 a 8</w:t>
            </w:r>
          </w:p>
        </w:tc>
        <w:tc>
          <w:tcPr>
            <w:tcW w:type="dxa" w:w="187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Conciliación aprobada y archivada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Informe de conciliación</w:t>
            </w:r>
          </w:p>
        </w:tc>
        <w:tc>
          <w:tcPr>
            <w:tcW w:type="dxa" w:w="187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Gerencia financiera del cliente</w:t>
            </w:r>
            <w:r>
              <w:rPr>
                <w:color w:val="6B7177"/>
                <w:sz w:val="18"/>
                <w:szCs w:val="18"/>
              </w:rPr>
              <w:t xml:space="preserve"> (externo)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100" w:before="0"/>
      </w:pPr>
      <w:bookmarkStart w:name="kz_t4" w:id="4"/>
      <w:r>
        <w:t xml:space="preserve">4. Diagrama del proceso</w:t>
      </w:r>
      <w:bookmarkEnd w:id="4"/>
    </w:p>
    <w:p>
      <w:pPr>
        <w:spacing w:after="60" w:before="0" w:line="240" w:lineRule="auto"/>
        <w:jc w:val="center"/>
      </w:pPr>
      <w:r>
        <w:drawing>
          <wp:inline distT="0" distB="0" distL="0" distR="0">
            <wp:extent cx="8953500" cy="4486275"/>
            <wp:effectExtent t="0" r="0" b="0" l="0"/>
            <wp:docPr id="1" name="Diagrama" descr="Diagrama BPMN del proceso Conciliación bancaria mensual" title="Diagrama BPMN del proceso Conciliación bancaria men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104775" cy="104775"/>
            <wp:effectExtent t="0" r="0" b="0" l="0"/>
            <wp:docPr id="1" name="persona" descr="Persona" title="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Persona      </w:t>
      </w:r>
      <w:r>
        <w:drawing>
          <wp:inline distT="0" distB="0" distL="0" distR="0">
            <wp:extent cx="104775" cy="104775"/>
            <wp:effectExtent t="0" r="0" b="0" l="0"/>
            <wp:docPr id="1" name="sistema" descr="Sistema" title="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Sistema      </w:t>
      </w:r>
      <w:r>
        <w:drawing>
          <wp:inline distT="0" distB="0" distL="0" distR="0">
            <wp:extent cx="104775" cy="104775"/>
            <wp:effectExtent t="0" r="0" b="0" l="0"/>
            <wp:docPr id="1" name="automatizacion" descr="IA o automatización" title="IA o automa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IA o automatización      </w:t>
      </w:r>
      <w:r>
        <w:drawing>
          <wp:inline distT="0" distB="0" distL="0" distR="0">
            <wp:extent cx="104775" cy="104775"/>
            <wp:effectExtent t="0" r="0" b="0" l="0"/>
            <wp:docPr id="1" name="hoja" descr="Formato" title="For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Con formatos      </w:t>
      </w:r>
    </w:p>
    <w:p>
      <w:pPr>
        <w:spacing w:after="0" w:before="20"/>
        <w:jc w:val="center"/>
      </w:pPr>
      <w:r>
        <w:rPr>
          <w:color w:val="6B7177"/>
          <w:sz w:val="16"/>
          <w:szCs w:val="16"/>
        </w:rPr>
        <w:t xml:space="preserve">El número de cada tarea es el número del paso en la sección 5.</w:t>
      </w:r>
    </w:p>
    <w:p>
      <w:pPr>
        <w:sectPr>
          <w:headerReference w:type="default" r:id="rId11"/>
          <w:footerReference w:type="default" r:id="rId12"/>
          <w:type w:val="nextPage"/>
          <w:pgSz w:w="15840" w:h="12240" w:orient="landscape"/>
          <w:pgMar w:top="864" w:right="864" w:bottom="864" w:left="864" w:header="400" w:footer="400" w:gutter="0"/>
          <w:pgNumType/>
          <w:docGrid w:linePitch="360"/>
        </w:sectPr>
      </w:pPr>
    </w:p>
    <w:p>
      <w:pPr>
        <w:pStyle w:val="Heading2"/>
        <w:spacing w:after="100" w:before="0"/>
      </w:pPr>
      <w:bookmarkStart w:name="kz_t5" w:id="5"/>
      <w:r>
        <w:t xml:space="preserve">4.1 Fase 1: Preparación</w:t>
      </w:r>
      <w:bookmarkEnd w:id="5"/>
    </w:p>
    <w:p>
      <w:pPr>
        <w:spacing w:after="60" w:before="0" w:line="240" w:lineRule="auto"/>
        <w:jc w:val="center"/>
      </w:pPr>
      <w:r>
        <w:drawing>
          <wp:inline distT="0" distB="0" distL="0" distR="0">
            <wp:extent cx="4248150" cy="7772400"/>
            <wp:effectExtent t="0" r="0" b="0" l="0"/>
            <wp:docPr id="1" name="Diagrama" descr="Diagrama de la fase Preparación" title="Diagrama de la fase Prepa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104775" cy="104775"/>
            <wp:effectExtent t="0" r="0" b="0" l="0"/>
            <wp:docPr id="1" name="persona" descr="Persona" title="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Persona      </w:t>
      </w:r>
      <w:r>
        <w:drawing>
          <wp:inline distT="0" distB="0" distL="0" distR="0">
            <wp:extent cx="104775" cy="104775"/>
            <wp:effectExtent t="0" r="0" b="0" l="0"/>
            <wp:docPr id="1" name="sistema" descr="Sistema" title="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Sistema      </w:t>
      </w:r>
      <w:r>
        <w:drawing>
          <wp:inline distT="0" distB="0" distL="0" distR="0">
            <wp:extent cx="104775" cy="104775"/>
            <wp:effectExtent t="0" r="0" b="0" l="0"/>
            <wp:docPr id="1" name="automatizacion" descr="IA o automatización" title="IA o automa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IA o automatización      </w:t>
      </w:r>
      <w:r>
        <w:drawing>
          <wp:inline distT="0" distB="0" distL="0" distR="0">
            <wp:extent cx="104775" cy="104775"/>
            <wp:effectExtent t="0" r="0" b="0" l="0"/>
            <wp:docPr id="1" name="hoja" descr="Formato" title="For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Con formatos      </w:t>
      </w:r>
    </w:p>
    <w:p>
      <w:pPr>
        <w:spacing w:after="0" w:before="20"/>
        <w:jc w:val="center"/>
      </w:pPr>
      <w:r>
        <w:rPr>
          <w:color w:val="6B7177"/>
          <w:sz w:val="16"/>
          <w:szCs w:val="16"/>
        </w:rPr>
        <w:t xml:space="preserve">Detalle de la fase. A la izquierda, los carriles de cada rol; la primera hoja del diagrama muestra el proceso completo.</w:t>
      </w:r>
    </w:p>
    <w:p>
      <w:pPr>
        <w:sectPr>
          <w:headerReference w:type="default" r:id="rId13"/>
          <w:footerReference w:type="default" r:id="rId14"/>
          <w:type w:val="nextPage"/>
          <w:pgSz w:w="12240" w:h="15840" w:orient="portrait"/>
          <w:pgMar w:top="864" w:right="864" w:bottom="864" w:left="864" w:header="400" w:footer="400" w:gutter="0"/>
          <w:pgNumType/>
          <w:docGrid w:linePitch="360"/>
        </w:sectPr>
      </w:pPr>
    </w:p>
    <w:p>
      <w:pPr>
        <w:pStyle w:val="Heading2"/>
        <w:spacing w:after="100" w:before="0"/>
      </w:pPr>
      <w:bookmarkStart w:name="kz_t6" w:id="6"/>
      <w:r>
        <w:t xml:space="preserve">4.2 Fase 2: Cuadre</w:t>
      </w:r>
      <w:bookmarkEnd w:id="6"/>
    </w:p>
    <w:p>
      <w:pPr>
        <w:spacing w:after="60" w:before="0" w:line="240" w:lineRule="auto"/>
        <w:jc w:val="center"/>
      </w:pPr>
      <w:r>
        <w:drawing>
          <wp:inline distT="0" distB="0" distL="0" distR="0">
            <wp:extent cx="6524625" cy="7772400"/>
            <wp:effectExtent t="0" r="0" b="0" l="0"/>
            <wp:docPr id="1" name="Diagrama" descr="Diagrama de la fase Cuadre" title="Diagrama de la fase Cuad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104775" cy="104775"/>
            <wp:effectExtent t="0" r="0" b="0" l="0"/>
            <wp:docPr id="1" name="persona" descr="Persona" title="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Persona      </w:t>
      </w:r>
      <w:r>
        <w:drawing>
          <wp:inline distT="0" distB="0" distL="0" distR="0">
            <wp:extent cx="104775" cy="104775"/>
            <wp:effectExtent t="0" r="0" b="0" l="0"/>
            <wp:docPr id="1" name="sistema" descr="Sistema" title="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Sistema      </w:t>
      </w:r>
      <w:r>
        <w:drawing>
          <wp:inline distT="0" distB="0" distL="0" distR="0">
            <wp:extent cx="104775" cy="104775"/>
            <wp:effectExtent t="0" r="0" b="0" l="0"/>
            <wp:docPr id="1" name="automatizacion" descr="IA o automatización" title="IA o automa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IA o automatización      </w:t>
      </w:r>
      <w:r>
        <w:drawing>
          <wp:inline distT="0" distB="0" distL="0" distR="0">
            <wp:extent cx="104775" cy="104775"/>
            <wp:effectExtent t="0" r="0" b="0" l="0"/>
            <wp:docPr id="1" name="hoja" descr="Formato" title="For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Con formatos      </w:t>
      </w:r>
    </w:p>
    <w:p>
      <w:pPr>
        <w:spacing w:after="0" w:before="20"/>
        <w:jc w:val="center"/>
      </w:pPr>
      <w:r>
        <w:rPr>
          <w:color w:val="6B7177"/>
          <w:sz w:val="16"/>
          <w:szCs w:val="16"/>
        </w:rPr>
        <w:t xml:space="preserve">Detalle de la fase. A la izquierda, los carriles de cada rol; la primera hoja del diagrama muestra el proceso completo.</w:t>
      </w:r>
    </w:p>
    <w:p>
      <w:pPr>
        <w:sectPr>
          <w:headerReference w:type="default" r:id="rId15"/>
          <w:footerReference w:type="default" r:id="rId16"/>
          <w:type w:val="nextPage"/>
          <w:pgSz w:w="12240" w:h="15840" w:orient="portrait"/>
          <w:pgMar w:top="864" w:right="864" w:bottom="864" w:left="864" w:header="400" w:footer="400" w:gutter="0"/>
          <w:pgNumType/>
          <w:docGrid w:linePitch="360"/>
        </w:sectPr>
      </w:pPr>
    </w:p>
    <w:p>
      <w:pPr>
        <w:pStyle w:val="Heading2"/>
        <w:spacing w:after="100" w:before="0"/>
      </w:pPr>
      <w:bookmarkStart w:name="kz_t7" w:id="7"/>
      <w:r>
        <w:t xml:space="preserve">4.3 Fase 3: Cierre</w:t>
      </w:r>
      <w:bookmarkEnd w:id="7"/>
    </w:p>
    <w:p>
      <w:pPr>
        <w:spacing w:after="60" w:before="0" w:line="240" w:lineRule="auto"/>
        <w:jc w:val="center"/>
      </w:pPr>
      <w:r>
        <w:drawing>
          <wp:inline distT="0" distB="0" distL="0" distR="0">
            <wp:extent cx="6553200" cy="7772400"/>
            <wp:effectExtent t="0" r="0" b="0" l="0"/>
            <wp:docPr id="1" name="Diagrama" descr="Diagrama de la fase Cierre" title="Diagrama de la fase Cie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104775" cy="104775"/>
            <wp:effectExtent t="0" r="0" b="0" l="0"/>
            <wp:docPr id="1" name="persona" descr="Persona" title="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Persona      </w:t>
      </w:r>
      <w:r>
        <w:drawing>
          <wp:inline distT="0" distB="0" distL="0" distR="0">
            <wp:extent cx="104775" cy="104775"/>
            <wp:effectExtent t="0" r="0" b="0" l="0"/>
            <wp:docPr id="1" name="sistema" descr="Sistema" title="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Sistema      </w:t>
      </w:r>
      <w:r>
        <w:drawing>
          <wp:inline distT="0" distB="0" distL="0" distR="0">
            <wp:extent cx="104775" cy="104775"/>
            <wp:effectExtent t="0" r="0" b="0" l="0"/>
            <wp:docPr id="1" name="automatizacion" descr="IA o automatización" title="IA o automa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IA o automatización      </w:t>
      </w:r>
      <w:r>
        <w:drawing>
          <wp:inline distT="0" distB="0" distL="0" distR="0">
            <wp:extent cx="104775" cy="104775"/>
            <wp:effectExtent t="0" r="0" b="0" l="0"/>
            <wp:docPr id="1" name="hoja" descr="Formato" title="For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Con formatos      </w:t>
      </w:r>
    </w:p>
    <w:p>
      <w:pPr>
        <w:spacing w:after="0" w:before="20"/>
        <w:jc w:val="center"/>
      </w:pPr>
      <w:r>
        <w:rPr>
          <w:color w:val="6B7177"/>
          <w:sz w:val="16"/>
          <w:szCs w:val="16"/>
        </w:rPr>
        <w:t xml:space="preserve">Detalle de la fase. A la izquierda, los carriles de cada rol; la primera hoja del diagrama muestra el proceso completo.</w:t>
      </w:r>
    </w:p>
    <w:p>
      <w:pPr>
        <w:sectPr>
          <w:headerReference w:type="default" r:id="rId17"/>
          <w:footerReference w:type="default" r:id="rId18"/>
          <w:type w:val="nextPage"/>
          <w:pgSz w:w="12240" w:h="15840" w:orient="portrait"/>
          <w:pgMar w:top="864" w:right="864" w:bottom="864" w:left="864" w:header="400" w:footer="400" w:gutter="0"/>
          <w:pgNumType/>
          <w:docGrid w:linePitch="360"/>
        </w:sectPr>
      </w:pPr>
    </w:p>
    <w:p>
      <w:pPr>
        <w:pStyle w:val="Heading1"/>
      </w:pPr>
      <w:bookmarkStart w:name="kz_t8" w:id="8"/>
      <w:r>
        <w:t xml:space="preserve">5. El proceso paso a paso</w:t>
      </w:r>
      <w:bookmarkEnd w:id="8"/>
    </w:p>
    <w:tbl>
      <w:tblPr>
        <w:tblW w:type="dxa" w:w="9360"/>
        <w:tblBorders>
          <w:top w:val="none" w:color="FFFFFF" w:sz="0"/>
          <w:left w:val="single" w:color="F94202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5F6F8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keepNext/>
              <w:spacing w:after="80" w:before="0"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En pocas palabras</w:t>
            </w:r>
          </w:p>
          <w:p>
            <w:pPr>
              <w:spacing w:after="110" w:before="0" w:line="288" w:lineRule="auto"/>
            </w:pPr>
            <w:r>
              <w:t xml:space="preserve">Este procedimiento cuenta cómo se hace el proceso «Conciliación bancaria mensual»: quién hace cada paso, con qué y qué entrega. </w:t>
            </w:r>
            <w:r>
              <w:t xml:space="preserve">El proceso empieza cuando el banco publica el extracto del mes</w:t>
            </w:r>
            <w:r>
              <w:t xml:space="preserve"> (cada mes, hacia el tercer día hábil)</w:t>
            </w:r>
            <w:r>
              <w:t xml:space="preserve"> y termina con la conciliación aprobada y archivada.</w:t>
            </w:r>
            <w:r>
              <w:t xml:space="preserve"> Tiene 8 pasos en 3 fases: Preparación, Cuadre y Cierre.</w:t>
            </w:r>
            <w:r>
              <w:t xml:space="preserve"> Participan el auxiliar contable, el sistema contable, el analista contable y el jefe de contabilidad.</w:t>
            </w:r>
            <w:r>
              <w:t xml:space="preserve"> Se hace mensual, por cuenta bancaria.</w:t>
            </w:r>
          </w:p>
          <w:p>
            <w:pPr>
              <w:spacing w:after="0" w:before="60" w:line="264" w:lineRule="auto"/>
            </w:pPr>
            <w:r>
              <w:rPr>
                <w:b/>
                <w:bCs/>
                <w:color w:val="6B7177"/>
                <w:sz w:val="18"/>
                <w:szCs w:val="18"/>
              </w:rPr>
              <w:t xml:space="preserve">Cómo leerlo: </w:t>
            </w:r>
            <w:r>
              <w:rPr>
                <w:color w:val="6B7177"/>
                <w:sz w:val="18"/>
                <w:szCs w:val="18"/>
              </w:rPr>
              <w:t xml:space="preserve">cada paso lleva el número que tiene en el diagrama. «Importante» marca una regla que se debe cumplir y «Atención», un problema conocido. Lo que falta confirmar va en color. La ficha técnica de cada actividad está en el anexo 6.2; el código junto a cada paso lleva a ella.</w:t>
            </w:r>
          </w:p>
        </w:tc>
      </w:tr>
    </w:tbl>
    <w:p>
      <w:pPr>
        <w:pStyle w:val="Heading2"/>
      </w:pPr>
      <w:bookmarkStart w:name="kz_t9" w:id="9"/>
      <w:r>
        <w:t xml:space="preserve">5.1 Fase 1: Preparación</w:t>
      </w:r>
      <w:bookmarkEnd w:id="9"/>
    </w:p>
    <w:p>
      <w:pPr>
        <w:spacing w:after="110" w:before="0" w:line="288" w:lineRule="auto"/>
      </w:pPr>
      <w:r>
        <w:rPr>
          <w:color w:val="6B7177"/>
        </w:rPr>
        <w:t xml:space="preserve">Esta fase busca tener los movimientos del banco dentro del sistema.</w:t>
      </w:r>
      <w:r>
        <w:rPr>
          <w:color w:val="6B7177"/>
        </w:rPr>
        <w:t xml:space="preserve"> Empieza cuando el banco publica el extracto y termina con los movimientos cargados en Siigo.</w:t>
      </w:r>
      <w:r>
        <w:rPr>
          <w:color w:val="6B7177"/>
        </w:rPr>
        <w:t xml:space="preserve"> Entrega el extracto del mes y los movimientos bancarios cargados.</w:t>
      </w:r>
    </w:p>
    <w:p>
      <w:pPr>
        <w:keepNext/>
        <w:keepLines/>
        <w:spacing w:after="80" w:before="280" w:line="264" w:lineRule="auto"/>
      </w:pPr>
      <w:bookmarkStart w:name="kz_paso_a_descargar" w:id="10"/>
      <w:r>
        <w:rPr>
          <w:b/>
          <w:bCs/>
          <w:color w:val="111111"/>
          <w:sz w:val="22"/>
          <w:szCs w:val="22"/>
        </w:rPr>
        <w:t xml:space="preserve">1. Descargar extracto bancario</w:t>
      </w:r>
      <w:bookmarkEnd w:id="10"/>
      <w:r>
        <w:t xml:space="preserve">    </w:t>
      </w:r>
      <w:hyperlink w:history="1" w:anchor="kz_ficha_a_descargar">
        <w:r>
          <w:rPr>
            <w:color w:val="6B7177"/>
            <w:sz w:val="16"/>
            <w:szCs w:val="16"/>
          </w:rPr>
          <w:t xml:space="preserve">ACT-01</w:t>
        </w:r>
      </w:hyperlink>
    </w:p>
    <w:p>
      <w:pPr>
        <w:keepNext w:val="false"/>
        <w:spacing w:after="110" w:before="0" w:line="288" w:lineRule="auto"/>
      </w:pPr>
      <w:r>
        <w:t xml:space="preserve">Con el acceso al portal del banco, </w:t>
      </w:r>
      <w:r>
        <w:t xml:space="preserve">el auxiliar contable</w:t>
      </w:r>
      <w:r>
        <w:t xml:space="preserve"> descarga el extracto bancario.</w:t>
      </w:r>
      <w:r>
        <w:t xml:space="preserve"> </w:t>
      </w:r>
      <w:r>
        <w:t xml:space="preserve">Ingresa al portal empresarial con el token de la empresa y descarga el extracto en PDF y en Excel. Guarda ambos archivos en la carpeta del mes.</w:t>
      </w:r>
      <w:r>
        <w:t xml:space="preserve"> </w:t>
      </w:r>
      <w:r>
        <w:t xml:space="preserve">Usa </w:t>
      </w:r>
      <w:r>
        <w:t xml:space="preserve">el portal empresarial del banco</w:t>
      </w:r>
      <w:r>
        <w:t xml:space="preserve">.</w:t>
      </w:r>
      <w:r>
        <w:t xml:space="preserve"> </w:t>
      </w:r>
      <w:r>
        <w:t xml:space="preserve">Antes de seguir, comprueba que el extracto cubre el mes completo y trae saldo final.</w:t>
      </w:r>
      <w:r>
        <w:t xml:space="preserve"> </w:t>
      </w:r>
      <w:r>
        <w:t xml:space="preserve">El resultado es el extracto del mes</w:t>
      </w:r>
      <w:r>
        <w:t xml:space="preserve">.</w:t>
      </w:r>
      <w:r>
        <w:t xml:space="preserve"> </w:t>
      </w:r>
      <w:r>
        <w:t xml:space="preserve">Toma un cuarto de hora.</w:t>
      </w:r>
    </w:p>
    <w:p>
      <w:pPr>
        <w:keepNext/>
        <w:keepLines/>
        <w:spacing w:after="80" w:before="280" w:line="264" w:lineRule="auto"/>
      </w:pPr>
      <w:bookmarkStart w:name="kz_paso_a_cargar" w:id="11"/>
      <w:r>
        <w:rPr>
          <w:b/>
          <w:bCs/>
          <w:color w:val="111111"/>
          <w:sz w:val="22"/>
          <w:szCs w:val="22"/>
        </w:rPr>
        <w:t xml:space="preserve">2. Cargar extracto al sistema contable</w:t>
      </w:r>
      <w:bookmarkEnd w:id="11"/>
      <w:r>
        <w:t xml:space="preserve">    </w:t>
      </w:r>
      <w:hyperlink w:history="1" w:anchor="kz_ficha_a_cargar">
        <w:r>
          <w:rPr>
            <w:color w:val="6B7177"/>
            <w:sz w:val="16"/>
            <w:szCs w:val="16"/>
          </w:rPr>
          <w:t xml:space="preserve">ACT-02</w:t>
        </w:r>
      </w:hyperlink>
    </w:p>
    <w:p>
      <w:pPr>
        <w:keepNext w:val="false"/>
        <w:spacing w:after="110" w:before="0" w:line="288" w:lineRule="auto"/>
      </w:pPr>
      <w:r>
        <w:t xml:space="preserve">Con el extracto del mes, </w:t>
      </w:r>
      <w:r>
        <w:t xml:space="preserve">el auxiliar contable</w:t>
      </w:r>
      <w:r>
        <w:t xml:space="preserve"> carga el extracto al sistema contable.</w:t>
      </w:r>
      <w:r>
        <w:t xml:space="preserve"> </w:t>
      </w:r>
      <w:r>
        <w:t xml:space="preserve">Usa </w:t>
      </w:r>
      <w:r>
        <w:t xml:space="preserve">Siigo Nube</w:t>
      </w:r>
      <w:r>
        <w:t xml:space="preserve">.</w:t>
      </w:r>
      <w:r>
        <w:t xml:space="preserve"> </w:t>
      </w:r>
      <w:r>
        <w:t xml:space="preserve">El resultado son los movimientos bancarios cargados</w:t>
      </w:r>
      <w:r>
        <w:t xml:space="preserve">.</w:t>
      </w:r>
      <w:r>
        <w:t xml:space="preserve"> </w:t>
      </w:r>
      <w:r>
        <w:t xml:space="preserve">Toma media hora.</w:t>
      </w:r>
    </w:p>
    <w:p>
      <w:pPr>
        <w:spacing w:after="110" w:before="20" w:line="264" w:lineRule="auto"/>
      </w:pPr>
      <w:r>
        <w:rPr>
          <w:i/>
          <w:iCs/>
          <w:color w:val="9A6B00"/>
          <w:sz w:val="18"/>
          <w:szCs w:val="18"/>
        </w:rPr>
        <w:t xml:space="preserve">Por confirmar: cuánto espera.</w:t>
      </w:r>
    </w:p>
    <w:p>
      <w:pPr>
        <w:pStyle w:val="Heading2"/>
      </w:pPr>
      <w:bookmarkStart w:name="kz_t10" w:id="12"/>
      <w:r>
        <w:t xml:space="preserve">5.2 Fase 2: Cuadre</w:t>
      </w:r>
      <w:bookmarkEnd w:id="12"/>
    </w:p>
    <w:p>
      <w:pPr>
        <w:spacing w:after="110" w:before="0" w:line="288" w:lineRule="auto"/>
      </w:pPr>
      <w:r>
        <w:rPr>
          <w:color w:val="6B7177"/>
        </w:rPr>
        <w:t xml:space="preserve">Esta fase busca explicar cada diferencia entre banco y libros.</w:t>
      </w:r>
      <w:r>
        <w:rPr>
          <w:color w:val="6B7177"/>
        </w:rPr>
        <w:t xml:space="preserve"> Empieza con los movimientos cargados en Siigo.</w:t>
      </w:r>
      <w:r>
        <w:rPr>
          <w:color w:val="6B7177"/>
        </w:rPr>
        <w:t xml:space="preserve"> Entrega las partidas conciliatorias.</w:t>
      </w:r>
    </w:p>
    <w:p>
      <w:pPr>
        <w:keepNext/>
        <w:keepLines/>
        <w:spacing w:after="80" w:before="280" w:line="264" w:lineRule="auto"/>
      </w:pPr>
      <w:bookmarkStart w:name="kz_paso_a_cuadre" w:id="13"/>
      <w:r>
        <w:rPr>
          <w:b/>
          <w:bCs/>
          <w:color w:val="111111"/>
          <w:sz w:val="22"/>
          <w:szCs w:val="22"/>
        </w:rPr>
        <w:t xml:space="preserve">3. Ejecutar cuadre automático</w:t>
      </w:r>
      <w:bookmarkEnd w:id="13"/>
      <w:r>
        <w:t xml:space="preserve">    </w:t>
      </w:r>
      <w:hyperlink w:history="1" w:anchor="kz_ficha_a_cuadre">
        <w:r>
          <w:rPr>
            <w:color w:val="6B7177"/>
            <w:sz w:val="16"/>
            <w:szCs w:val="16"/>
          </w:rPr>
          <w:t xml:space="preserve">ACT-03</w:t>
        </w:r>
      </w:hyperlink>
    </w:p>
    <w:p>
      <w:pPr>
        <w:keepNext/>
        <w:spacing w:after="110" w:before="0" w:line="288" w:lineRule="auto"/>
      </w:pPr>
      <w:r>
        <w:t xml:space="preserve">Con los movimientos bancarios cargados, </w:t>
      </w:r>
      <w:r>
        <w:t xml:space="preserve">el sistema contable</w:t>
      </w:r>
      <w:r>
        <w:t xml:space="preserve"> ejecuta el cuadre automático.</w:t>
      </w:r>
      <w:r>
        <w:t xml:space="preserve"> </w:t>
      </w:r>
      <w:r>
        <w:t xml:space="preserve">Usa </w:t>
      </w:r>
      <w:r>
        <w:t xml:space="preserve">Siigo Nube</w:t>
      </w:r>
      <w:r>
        <w:t xml:space="preserve">.</w:t>
      </w:r>
      <w:r>
        <w:t xml:space="preserve"> </w:t>
      </w:r>
      <w:r>
        <w:t xml:space="preserve">El resultado es el reporte de partidas sin cruce</w:t>
      </w:r>
      <w:r>
        <w:t xml:space="preserve">.</w:t>
      </w:r>
      <w:r>
        <w:t xml:space="preserve"> </w:t>
      </w:r>
      <w:r>
        <w:t xml:space="preserve">Toma unos 6 minutos.</w:t>
      </w:r>
    </w:p>
    <w:p>
      <w:pPr>
        <w:keepNext/>
        <w:spacing w:after="60" w:before="40" w:line="288" w:lineRule="auto"/>
      </w:pPr>
      <w:r>
        <w:t xml:space="preserve">Luego se decide: </w:t>
      </w:r>
      <w:r>
        <w:rPr>
          <w:b/>
          <w:bCs/>
        </w:rPr>
        <w:t xml:space="preserve">¿Cruzan todos los movimientos?</w:t>
      </w:r>
    </w:p>
    <w:p>
      <w:pPr>
        <w:pStyle w:val="ListParagraph"/>
        <w:keepNext/>
        <w:numPr>
          <w:ilvl w:val="0"/>
          <w:numId w:val="3"/>
        </w:numPr>
        <w:spacing w:after="50" w:before="0" w:line="276" w:lineRule="auto"/>
      </w:pPr>
      <w:r>
        <w:t xml:space="preserve">Si la respuesta es «Sí, todo cruza», </w:t>
      </w:r>
      <w:r>
        <w:t xml:space="preserve">sigue en el </w:t>
      </w:r>
      <w:hyperlink w:history="1" w:anchor="kz_paso_a_revisar">
        <w:r>
          <w:rPr>
            <w:b/>
            <w:bCs/>
          </w:rPr>
          <w:t xml:space="preserve">paso 6</w:t>
        </w:r>
      </w:hyperlink>
      <w:r>
        <w:t xml:space="preserve"> (Revisar y aprobar la conciliación)</w:t>
      </w:r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50" w:before="0" w:line="276" w:lineRule="auto"/>
      </w:pPr>
      <w:r>
        <w:t xml:space="preserve">Si la respuesta es «Quedan partidas sin cruce», </w:t>
      </w:r>
      <w:r>
        <w:t xml:space="preserve">sigue en el </w:t>
      </w:r>
      <w:hyperlink w:history="1" w:anchor="kz_paso_a_investigar">
        <w:r>
          <w:rPr>
            <w:b/>
            <w:bCs/>
          </w:rPr>
          <w:t xml:space="preserve">paso 4</w:t>
        </w:r>
      </w:hyperlink>
      <w:r>
        <w:t xml:space="preserve"> (Investigar diferencias)</w:t>
      </w:r>
      <w:r>
        <w:t xml:space="preserve">.</w:t>
      </w:r>
    </w:p>
    <w:p>
      <w:pPr>
        <w:keepNext/>
        <w:keepLines/>
        <w:spacing w:after="80" w:before="280" w:line="264" w:lineRule="auto"/>
      </w:pPr>
      <w:bookmarkStart w:name="kz_paso_a_investigar" w:id="14"/>
      <w:r>
        <w:rPr>
          <w:b/>
          <w:bCs/>
          <w:color w:val="111111"/>
          <w:sz w:val="22"/>
          <w:szCs w:val="22"/>
        </w:rPr>
        <w:t xml:space="preserve">4. Investigar diferencias</w:t>
      </w:r>
      <w:bookmarkEnd w:id="14"/>
      <w:r>
        <w:t xml:space="preserve">    </w:t>
      </w:r>
      <w:hyperlink w:history="1" w:anchor="kz_ficha_a_investigar">
        <w:r>
          <w:rPr>
            <w:color w:val="6B7177"/>
            <w:sz w:val="16"/>
            <w:szCs w:val="16"/>
          </w:rPr>
          <w:t xml:space="preserve">ACT-04</w:t>
        </w:r>
      </w:hyperlink>
    </w:p>
    <w:p>
      <w:pPr>
        <w:keepNext w:val="false"/>
        <w:spacing w:after="110" w:before="0" w:line="288" w:lineRule="auto"/>
      </w:pPr>
      <w:r>
        <w:t xml:space="preserve">También se llega a este paso desde </w:t>
      </w:r>
      <w:r>
        <w:t xml:space="preserve">el </w:t>
      </w:r>
      <w:hyperlink w:history="1" w:anchor="kz_paso_a_revisar">
        <w:r>
          <w:rPr>
            <w:b/>
            <w:bCs/>
          </w:rPr>
          <w:t xml:space="preserve">paso 6</w:t>
        </w:r>
      </w:hyperlink>
      <w:r>
        <w:t xml:space="preserve">, si la respuesta es «Con observaciones»</w:t>
      </w:r>
      <w:r>
        <w:t xml:space="preserve">.</w:t>
      </w:r>
      <w:r>
        <w:t xml:space="preserve"> </w:t>
      </w:r>
      <w:r>
        <w:t xml:space="preserve">Con el reporte de partidas sin cruce, </w:t>
      </w:r>
      <w:r>
        <w:t xml:space="preserve">el analista contable</w:t>
      </w:r>
      <w:r>
        <w:t xml:space="preserve"> investiga las diferencias.</w:t>
      </w:r>
      <w:r>
        <w:t xml:space="preserve"> </w:t>
      </w:r>
      <w:r>
        <w:t xml:space="preserve">Lo hace por cada partida sin cruce, una tras otra.</w:t>
      </w:r>
      <w:r>
        <w:t xml:space="preserve"> </w:t>
      </w:r>
      <w:r>
        <w:t xml:space="preserve">Revisa cada partida del reporte contra los soportes. Si es una consignación sin referencia, llama al cliente para identificarla; si es una comisión, pide el soporte al banco.</w:t>
      </w:r>
      <w:r>
        <w:t xml:space="preserve"> </w:t>
      </w:r>
      <w:r>
        <w:t xml:space="preserve">Cuenta con el apoyo de la tesorería del cliente.</w:t>
      </w:r>
      <w:r>
        <w:t xml:space="preserve"> </w:t>
      </w:r>
      <w:r>
        <w:t xml:space="preserve">El resultado es la explicación de cada diferencia</w:t>
      </w:r>
      <w:r>
        <w:t xml:space="preserve">.</w:t>
      </w:r>
      <w:r>
        <w:t xml:space="preserve"> </w:t>
      </w:r>
      <w:r>
        <w:t xml:space="preserve">Al terminar, espera la respuesta del cliente, que envía la tesorería del cliente desde fuera de la organización.</w:t>
      </w:r>
    </w:p>
    <w:p>
      <w:pPr>
        <w:pBdr>
          <w:left w:val="single" w:color="9A6B00" w:sz="18" w:space="8"/>
        </w:pBdr>
        <w:spacing w:after="110" w:before="40" w:line="276" w:lineRule="auto"/>
        <w:ind w:left="220"/>
      </w:pPr>
      <w:r>
        <w:rPr>
          <w:b/>
          <w:bCs/>
          <w:color w:val="9A6B00"/>
        </w:rPr>
        <w:t xml:space="preserve">Atención: </w:t>
      </w:r>
      <w:r>
        <w:t xml:space="preserve">Las consignaciones sin referencia se demoran porque hay que llamar al cliente.</w:t>
      </w:r>
    </w:p>
    <w:p>
      <w:pPr>
        <w:spacing w:after="110" w:before="20" w:line="264" w:lineRule="auto"/>
      </w:pPr>
      <w:r>
        <w:rPr>
          <w:i/>
          <w:iCs/>
          <w:color w:val="9A6B00"/>
          <w:sz w:val="18"/>
          <w:szCs w:val="18"/>
        </w:rPr>
        <w:t xml:space="preserve">Hay preguntas abiertas sobre este paso.</w:t>
      </w:r>
      <w:r>
        <w:rPr>
          <w:sz w:val="18"/>
          <w:szCs w:val="18"/>
        </w:rPr>
        <w:t xml:space="preserve"> </w:t>
      </w:r>
      <w:r>
        <w:rPr>
          <w:i/>
          <w:iCs/>
          <w:color w:val="9A6B00"/>
          <w:sz w:val="18"/>
          <w:szCs w:val="18"/>
        </w:rPr>
        <w:t xml:space="preserve">Por confirmar: cuánto tarda y cuánto espera.</w:t>
      </w:r>
    </w:p>
    <w:p>
      <w:pPr>
        <w:keepNext/>
        <w:keepLines/>
        <w:spacing w:after="80" w:before="280" w:line="264" w:lineRule="auto"/>
      </w:pPr>
      <w:bookmarkStart w:name="kz_paso_a_registrar" w:id="15"/>
      <w:r>
        <w:rPr>
          <w:b/>
          <w:bCs/>
          <w:color w:val="111111"/>
          <w:sz w:val="22"/>
          <w:szCs w:val="22"/>
        </w:rPr>
        <w:t xml:space="preserve">5. Registrar partidas conciliatorias</w:t>
      </w:r>
      <w:bookmarkEnd w:id="15"/>
      <w:r>
        <w:t xml:space="preserve">    </w:t>
      </w:r>
      <w:hyperlink w:history="1" w:anchor="kz_ficha_a_registrar">
        <w:r>
          <w:rPr>
            <w:color w:val="6B7177"/>
            <w:sz w:val="16"/>
            <w:szCs w:val="16"/>
          </w:rPr>
          <w:t xml:space="preserve">ACT-05</w:t>
        </w:r>
      </w:hyperlink>
    </w:p>
    <w:p>
      <w:pPr>
        <w:keepNext w:val="false"/>
        <w:spacing w:after="110" w:before="0" w:line="288" w:lineRule="auto"/>
      </w:pPr>
      <w:r>
        <w:t xml:space="preserve">Con la explicación de cada diferencia, </w:t>
      </w:r>
      <w:r>
        <w:t xml:space="preserve">el analista contable</w:t>
      </w:r>
      <w:r>
        <w:t xml:space="preserve"> registra las partidas conciliatorias.</w:t>
      </w:r>
      <w:r>
        <w:t xml:space="preserve"> </w:t>
      </w:r>
      <w:r>
        <w:t xml:space="preserve">Usa </w:t>
      </w:r>
      <w:r>
        <w:t xml:space="preserve">el formato </w:t>
      </w:r>
      <w:r>
        <w:t xml:space="preserve">FT-CON-02 «Registro de partidas conciliatorias»</w:t>
      </w:r>
      <w:r>
        <w:t xml:space="preserve"> (</w:t>
      </w:r>
      <w:hyperlink w:history="1" w:anchor="kz_anexos">
        <w:r>
          <w:rPr>
            <w:b/>
            <w:bCs/>
          </w:rPr>
          <w:t xml:space="preserve">anexo 1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El resultado son las partidas conciliatorias</w:t>
      </w:r>
      <w:r>
        <w:t xml:space="preserve">.</w:t>
      </w:r>
      <w:r>
        <w:t xml:space="preserve"> </w:t>
      </w:r>
      <w:r>
        <w:t xml:space="preserve">Toma una hora.</w:t>
      </w:r>
    </w:p>
    <w:p>
      <w:pPr>
        <w:pBdr>
          <w:left w:val="single" w:color="F94202" w:sz="18" w:space="8"/>
        </w:pBdr>
        <w:spacing w:after="110" w:before="40" w:line="276" w:lineRule="auto"/>
        <w:ind w:left="220"/>
      </w:pPr>
      <w:r>
        <w:rPr>
          <w:b/>
          <w:bCs/>
          <w:color w:val="F94202"/>
        </w:rPr>
        <w:t xml:space="preserve">Importante: </w:t>
      </w:r>
      <w:r>
        <w:t xml:space="preserve">Toda partida mayor a 90 días se ajusta contra gasto con visto bueno de la jefe.</w:t>
      </w:r>
    </w:p>
    <w:p>
      <w:pPr>
        <w:spacing w:after="110" w:before="20" w:line="264" w:lineRule="auto"/>
      </w:pPr>
      <w:r>
        <w:rPr>
          <w:i/>
          <w:iCs/>
          <w:color w:val="9A6B00"/>
          <w:sz w:val="18"/>
          <w:szCs w:val="18"/>
        </w:rPr>
        <w:t xml:space="preserve">Por confirmar: cómo se sabe que quedó bien.</w:t>
      </w:r>
    </w:p>
    <w:p>
      <w:pPr>
        <w:pStyle w:val="Heading2"/>
      </w:pPr>
      <w:bookmarkStart w:name="kz_t11" w:id="16"/>
      <w:r>
        <w:t xml:space="preserve">5.3 Fase 3: Cierre</w:t>
      </w:r>
      <w:bookmarkEnd w:id="16"/>
    </w:p>
    <w:p>
      <w:pPr>
        <w:spacing w:after="110" w:before="0" w:line="288" w:lineRule="auto"/>
      </w:pPr>
      <w:r>
        <w:rPr>
          <w:color w:val="6B7177"/>
        </w:rPr>
        <w:t xml:space="preserve">Esta fase busca dejar la conciliación aprobada, enviada y archivada.</w:t>
      </w:r>
      <w:r>
        <w:rPr>
          <w:color w:val="6B7177"/>
        </w:rPr>
        <w:t xml:space="preserve"> Empieza con las diferencias explicadas y termina con la conciliación archivada en la carpeta del cliente.</w:t>
      </w:r>
      <w:r>
        <w:rPr>
          <w:color w:val="6B7177"/>
        </w:rPr>
        <w:t xml:space="preserve"> Entrega la conciliación firmada y el informe de conciliación.</w:t>
      </w:r>
    </w:p>
    <w:p>
      <w:pPr>
        <w:keepNext/>
        <w:keepLines/>
        <w:spacing w:after="80" w:before="280" w:line="264" w:lineRule="auto"/>
      </w:pPr>
      <w:bookmarkStart w:name="kz_paso_a_revisar" w:id="17"/>
      <w:r>
        <w:rPr>
          <w:b/>
          <w:bCs/>
          <w:color w:val="111111"/>
          <w:sz w:val="22"/>
          <w:szCs w:val="22"/>
        </w:rPr>
        <w:t xml:space="preserve">6. Revisar y aprobar la conciliación</w:t>
      </w:r>
      <w:bookmarkEnd w:id="17"/>
      <w:r>
        <w:t xml:space="preserve">    </w:t>
      </w:r>
      <w:hyperlink w:history="1" w:anchor="kz_ficha_a_revisar">
        <w:r>
          <w:rPr>
            <w:color w:val="6B7177"/>
            <w:sz w:val="16"/>
            <w:szCs w:val="16"/>
          </w:rPr>
          <w:t xml:space="preserve">ACT-06</w:t>
        </w:r>
      </w:hyperlink>
    </w:p>
    <w:p>
      <w:pPr>
        <w:keepNext/>
        <w:spacing w:after="110" w:before="0" w:line="288" w:lineRule="auto"/>
      </w:pPr>
      <w:r>
        <w:t xml:space="preserve">También se llega a este paso desde </w:t>
      </w:r>
      <w:r>
        <w:t xml:space="preserve">el </w:t>
      </w:r>
      <w:hyperlink w:history="1" w:anchor="kz_paso_a_cuadre">
        <w:r>
          <w:rPr>
            <w:b/>
            <w:bCs/>
          </w:rPr>
          <w:t xml:space="preserve">paso 3</w:t>
        </w:r>
      </w:hyperlink>
      <w:r>
        <w:t xml:space="preserve">, si la respuesta es «Sí, todo cruza»</w:t>
      </w:r>
      <w:r>
        <w:t xml:space="preserve">.</w:t>
      </w:r>
      <w:r>
        <w:t xml:space="preserve"> </w:t>
      </w:r>
      <w:r>
        <w:t xml:space="preserve">Con las partidas conciliatorias, </w:t>
      </w:r>
      <w:r>
        <w:t xml:space="preserve">el jefe de contabilidad</w:t>
      </w:r>
      <w:r>
        <w:t xml:space="preserve"> revisa y aprueba la conciliación.</w:t>
      </w:r>
      <w:r>
        <w:t xml:space="preserve"> </w:t>
      </w:r>
      <w:r>
        <w:t xml:space="preserve">Usa </w:t>
      </w:r>
      <w:r>
        <w:t xml:space="preserve">los formatos </w:t>
      </w:r>
      <w:r>
        <w:t xml:space="preserve">FT-CON-01 «Formato de conciliación bancaria»</w:t>
      </w:r>
      <w:r>
        <w:t xml:space="preserve"> (</w:t>
      </w:r>
      <w:hyperlink w:history="1" w:anchor="kz_anexos">
        <w:r>
          <w:rPr>
            <w:b/>
            <w:bCs/>
          </w:rPr>
          <w:t xml:space="preserve">anexo 2</w:t>
        </w:r>
      </w:hyperlink>
      <w:r>
        <w:t xml:space="preserve">)</w:t>
      </w:r>
      <w:r>
        <w:t xml:space="preserve"> y </w:t>
      </w:r>
      <w:r>
        <w:t xml:space="preserve">FT-CON-04 «Lista de chequeo de cierre»</w:t>
      </w:r>
      <w:r>
        <w:t xml:space="preserve"> (</w:t>
      </w:r>
      <w:hyperlink w:history="1" w:anchor="kz_anexos">
        <w:r>
          <w:rPr>
            <w:b/>
            <w:bCs/>
          </w:rPr>
          <w:t xml:space="preserve">anexo 3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Antes de seguir, comprueba esto: diferencia final en cero o totalmente explicada.</w:t>
      </w:r>
      <w:r>
        <w:t xml:space="preserve"> </w:t>
      </w:r>
      <w:r>
        <w:t xml:space="preserve">El resultado es la conciliación firmada</w:t>
      </w:r>
      <w:r>
        <w:t xml:space="preserve">.</w:t>
      </w:r>
      <w:r>
        <w:t xml:space="preserve"> </w:t>
      </w:r>
      <w:r>
        <w:t xml:space="preserve">Toma media hora, más 24 horas de espera.</w:t>
      </w:r>
    </w:p>
    <w:p>
      <w:pPr>
        <w:keepNext/>
        <w:spacing w:after="60" w:before="40" w:line="288" w:lineRule="auto"/>
      </w:pPr>
      <w:r>
        <w:t xml:space="preserve">Luego se decide: </w:t>
      </w:r>
      <w:r>
        <w:rPr>
          <w:b/>
          <w:bCs/>
        </w:rPr>
        <w:t xml:space="preserve">¿La jefe aprueba la conciliación?</w:t>
      </w:r>
    </w:p>
    <w:p>
      <w:pPr>
        <w:pStyle w:val="ListParagraph"/>
        <w:keepNext/>
        <w:numPr>
          <w:ilvl w:val="0"/>
          <w:numId w:val="3"/>
        </w:numPr>
        <w:spacing w:after="50" w:before="0" w:line="276" w:lineRule="auto"/>
      </w:pPr>
      <w:r>
        <w:t xml:space="preserve">Si la respuesta es «Aprobada», </w:t>
      </w:r>
      <w:r>
        <w:t xml:space="preserve">sigue en el </w:t>
      </w:r>
      <w:hyperlink w:history="1" w:anchor="kz_paso_a_enviar">
        <w:r>
          <w:rPr>
            <w:b/>
            <w:bCs/>
          </w:rPr>
          <w:t xml:space="preserve">paso 7</w:t>
        </w:r>
      </w:hyperlink>
      <w:r>
        <w:t xml:space="preserve"> (Enviar informe de conciliación al cliente)</w:t>
      </w:r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50" w:before="0" w:line="276" w:lineRule="auto"/>
      </w:pPr>
      <w:r>
        <w:t xml:space="preserve">Si la respuesta es «Con observaciones», </w:t>
      </w:r>
      <w:r>
        <w:t xml:space="preserve">vuelve al </w:t>
      </w:r>
      <w:hyperlink w:history="1" w:anchor="kz_paso_a_investigar">
        <w:r>
          <w:rPr>
            <w:b/>
            <w:bCs/>
          </w:rPr>
          <w:t xml:space="preserve">paso 4</w:t>
        </w:r>
      </w:hyperlink>
      <w:r>
        <w:t xml:space="preserve"> (Investigar diferencias)</w:t>
      </w:r>
      <w:r>
        <w:t xml:space="preserve">.</w:t>
      </w:r>
    </w:p>
    <w:p>
      <w:pPr>
        <w:keepNext/>
        <w:keepLines/>
        <w:spacing w:after="80" w:before="280" w:line="264" w:lineRule="auto"/>
      </w:pPr>
      <w:bookmarkStart w:name="kz_paso_a_enviar" w:id="18"/>
      <w:r>
        <w:rPr>
          <w:b/>
          <w:bCs/>
          <w:color w:val="111111"/>
          <w:sz w:val="22"/>
          <w:szCs w:val="22"/>
        </w:rPr>
        <w:t xml:space="preserve">7. Enviar informe de conciliación al cliente</w:t>
      </w:r>
      <w:bookmarkEnd w:id="18"/>
      <w:r>
        <w:t xml:space="preserve">    </w:t>
      </w:r>
      <w:hyperlink w:history="1" w:anchor="kz_ficha_a_enviar">
        <w:r>
          <w:rPr>
            <w:color w:val="6B7177"/>
            <w:sz w:val="16"/>
            <w:szCs w:val="16"/>
          </w:rPr>
          <w:t xml:space="preserve">ACT-07</w:t>
        </w:r>
      </w:hyperlink>
    </w:p>
    <w:p>
      <w:pPr>
        <w:keepNext w:val="false"/>
        <w:spacing w:after="110" w:before="0" w:line="288" w:lineRule="auto"/>
      </w:pPr>
      <w:r>
        <w:t xml:space="preserve">Con la conciliación firmada, </w:t>
      </w:r>
      <w:r>
        <w:t xml:space="preserve">el auxiliar contable</w:t>
      </w:r>
      <w:r>
        <w:t xml:space="preserve"> envía el informe de conciliación al cliente.</w:t>
      </w:r>
      <w:r>
        <w:t xml:space="preserve"> </w:t>
      </w:r>
      <w:r>
        <w:t xml:space="preserve">Usa </w:t>
      </w:r>
      <w:r>
        <w:t xml:space="preserve">el correo electrónico</w:t>
      </w:r>
      <w:r>
        <w:t xml:space="preserve">.</w:t>
      </w:r>
      <w:r>
        <w:t xml:space="preserve"> </w:t>
      </w:r>
      <w:r>
        <w:t xml:space="preserve">El resultado es el informe de conciliación</w:t>
      </w:r>
      <w:r>
        <w:t xml:space="preserve">, que se entrega a la gerencia financiera del cliente, fuera de la organización</w:t>
      </w:r>
      <w:r>
        <w:t xml:space="preserve">.</w:t>
      </w:r>
      <w:r>
        <w:t xml:space="preserve"> </w:t>
      </w:r>
      <w:r>
        <w:t xml:space="preserve">Toma un cuarto de hora.</w:t>
      </w:r>
    </w:p>
    <w:p>
      <w:pPr>
        <w:keepNext/>
        <w:keepLines/>
        <w:spacing w:after="80" w:before="280" w:line="264" w:lineRule="auto"/>
      </w:pPr>
      <w:bookmarkStart w:name="kz_paso_a_archivar" w:id="19"/>
      <w:r>
        <w:rPr>
          <w:b/>
          <w:bCs/>
          <w:color w:val="111111"/>
          <w:sz w:val="22"/>
          <w:szCs w:val="22"/>
        </w:rPr>
        <w:t xml:space="preserve">8. Archivar la conciliación</w:t>
      </w:r>
      <w:bookmarkEnd w:id="19"/>
      <w:r>
        <w:t xml:space="preserve">    </w:t>
      </w:r>
      <w:hyperlink w:history="1" w:anchor="kz_ficha_a_archivar">
        <w:r>
          <w:rPr>
            <w:color w:val="6B7177"/>
            <w:sz w:val="16"/>
            <w:szCs w:val="16"/>
          </w:rPr>
          <w:t xml:space="preserve">ACT-08</w:t>
        </w:r>
      </w:hyperlink>
    </w:p>
    <w:p>
      <w:pPr>
        <w:keepNext w:val="false"/>
        <w:spacing w:after="110" w:before="0" w:line="288" w:lineRule="auto"/>
      </w:pPr>
      <w:r>
        <w:t xml:space="preserve">Con la conciliación firmada, </w:t>
      </w:r>
      <w:r>
        <w:t xml:space="preserve">el auxiliar contable</w:t>
      </w:r>
      <w:r>
        <w:t xml:space="preserve"> archiva la conciliación.</w:t>
      </w:r>
      <w:r>
        <w:t xml:space="preserve"> </w:t>
      </w:r>
      <w:r>
        <w:t xml:space="preserve">Trabaja con la carpeta del cliente en SharePoint.</w:t>
      </w:r>
      <w:r>
        <w:t xml:space="preserve"> </w:t>
      </w:r>
      <w:r>
        <w:t xml:space="preserve">Toma unos 6 minutos.</w:t>
      </w:r>
      <w:r>
        <w:t xml:space="preserve"> </w:t>
      </w:r>
      <w:r>
        <w:t xml:space="preserve">Con esto termina el proceso, con la conciliación aprobada y archivada.</w:t>
      </w:r>
    </w:p>
    <w:p>
      <w:pPr>
        <w:pStyle w:val="Heading1"/>
        <w:pageBreakBefore/>
      </w:pPr>
      <w:bookmarkStart w:name="kz_t12" w:id="20"/>
      <w:r>
        <w:t xml:space="preserve">6. Anexos</w:t>
      </w:r>
      <w:bookmarkEnd w:id="20"/>
    </w:p>
    <w:p>
      <w:pPr>
        <w:pStyle w:val="Heading2"/>
      </w:pPr>
      <w:bookmarkStart w:name="kz_anexos" w:id="21"/>
      <w:r>
        <w:t xml:space="preserve">6.1 Formatos</w:t>
      </w:r>
      <w:bookmarkEnd w:id="21"/>
    </w:p>
    <w:p>
      <w:r>
        <w:t xml:space="preserve">Formatos que se usan en los pasos. Cada paso dice qué anexo usa.</w:t>
      </w:r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800"/>
        <w:gridCol w:w="1350"/>
        <w:gridCol w:w="2810"/>
        <w:gridCol w:w="1000"/>
        <w:gridCol w:w="1300"/>
        <w:gridCol w:w="2100"/>
      </w:tblGrid>
      <w:tr>
        <w:trPr>
          <w:cantSplit/>
          <w:tblHeader/>
        </w:trPr>
        <w:tc>
          <w:tcPr>
            <w:tcW w:type="dxa" w:w="8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Anexo</w:t>
            </w:r>
          </w:p>
        </w:tc>
        <w:tc>
          <w:tcPr>
            <w:tcW w:type="dxa" w:w="135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Código</w:t>
            </w:r>
          </w:p>
        </w:tc>
        <w:tc>
          <w:tcPr>
            <w:tcW w:type="dxa" w:w="281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Formato</w:t>
            </w:r>
          </w:p>
        </w:tc>
        <w:tc>
          <w:tcPr>
            <w:tcW w:type="dxa" w:w="10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Versión</w:t>
            </w:r>
          </w:p>
        </w:tc>
        <w:tc>
          <w:tcPr>
            <w:tcW w:type="dxa" w:w="13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Se usa en</w:t>
            </w:r>
          </w:p>
        </w:tc>
        <w:tc>
          <w:tcPr>
            <w:tcW w:type="dxa" w:w="21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Archivo o enlace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FT-CON-02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Registro de partidas conciliatorias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ACT-05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FT-CON-01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Formato de conciliación bancaria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ACT-06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FT-CON-04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Lista de chequeo de cierre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ACT-06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Lista de chequeo de cierre.pdf</w:t>
            </w:r>
          </w:p>
        </w:tc>
      </w:tr>
    </w:tbl>
    <w:p>
      <w:pPr>
        <w:pStyle w:val="Heading2"/>
      </w:pPr>
      <w:bookmarkStart w:name="kz_t14" w:id="22"/>
      <w:r>
        <w:t xml:space="preserve">6.2 Ficha técnica de las actividades</w:t>
      </w:r>
      <w:bookmarkEnd w:id="22"/>
    </w:p>
    <w:p>
      <w:r>
        <w:t xml:space="preserve">Los datos de cada actividad tal como se capturaron. «Por confirmar» marca un dato que aún falta preguntar.</w:t>
      </w:r>
    </w:p>
    <w:p>
      <w:pPr>
        <w:pStyle w:val="Heading3"/>
      </w:pPr>
      <w:bookmarkStart w:name="kz_ficha_a_descargar" w:id="23"/>
      <w:r>
        <w:t xml:space="preserve">ACT-01 · Descargar extracto bancario</w:t>
      </w:r>
      <w:bookmarkEnd w:id="23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descargar">
              <w:r>
                <w:rPr>
                  <w:rStyle w:val="Hyperlink"/>
                </w:rPr>
                <w:t xml:space="preserve">Paso 1</w:t>
              </w:r>
            </w:hyperlink>
            <w:r>
              <w:rPr>
                <w:color w:val="6B7177"/>
              </w:rPr>
              <w:t xml:space="preserve"> · Fase 1: Preparación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Ingresar al portal empresarial con el token de la empresa y descargar el extracto en PDF y en Excel. Guardar ambos archivos en la carpeta del mes.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Auxiliar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Acceso al portal del banco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Extracto del mes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El extracto cubre el mes completo y trae saldo final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0,25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0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Portal empresarial del banco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ACT-02 · Cargar extracto al sistema contable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cargar" w:id="24"/>
      <w:r>
        <w:t xml:space="preserve">ACT-02 · Cargar extracto al sistema contable</w:t>
      </w:r>
      <w:bookmarkEnd w:id="24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cargar">
              <w:r>
                <w:rPr>
                  <w:rStyle w:val="Hyperlink"/>
                </w:rPr>
                <w:t xml:space="preserve">Paso 2</w:t>
              </w:r>
            </w:hyperlink>
            <w:r>
              <w:rPr>
                <w:color w:val="6B7177"/>
              </w:rPr>
              <w:t xml:space="preserve"> · Fase 1: Preparación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Auxiliar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Extracto del mes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Movimientos bancarios cargados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0,5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rPr>
                <w:i/>
                <w:iCs/>
                <w:color w:val="9A6B00"/>
              </w:rPr>
              <w:t xml:space="preserve">Por confirmar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Siigo Nube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ACT-03 · Ejecutar cuadre automático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cuadre" w:id="25"/>
      <w:r>
        <w:t xml:space="preserve">ACT-03 · Ejecutar cuadre automático</w:t>
      </w:r>
      <w:bookmarkEnd w:id="25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cuadre">
              <w:r>
                <w:rPr>
                  <w:rStyle w:val="Hyperlink"/>
                </w:rPr>
                <w:t xml:space="preserve">Paso 3</w:t>
              </w:r>
            </w:hyperlink>
            <w:r>
              <w:rPr>
                <w:color w:val="6B7177"/>
              </w:rPr>
              <w:t xml:space="preserve"> · Fase 2: Cuadre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Sistema contable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sistema" descr="Sistema" title="Siste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Sistema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Movimientos bancarios cargados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Reporte de partidas sin cruce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0,1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0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Siigo Nube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Decisión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</w:rPr>
              <w:t xml:space="preserve">¿Cruzan todos los movimientos?</w:t>
            </w:r>
            <w:r>
              <w:rPr>
                <w:color w:val="6B7177"/>
              </w:rPr>
              <w:t xml:space="preserve">   Decide: Sistema contable.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9" w:lineRule="auto"/>
            </w:pPr>
            <w:r>
              <w:t xml:space="preserve">Sí, todo cruza  →  </w:t>
            </w:r>
            <w:r>
              <w:t xml:space="preserve">ACT-06 · Revisar y aprobar la conciliación</w:t>
            </w:r>
            <w:r>
              <w:rPr>
                <w:color w:val="6B7177"/>
              </w:rPr>
              <w:t xml:space="preserve">  (camino por defecto)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9" w:lineRule="auto"/>
            </w:pPr>
            <w:r>
              <w:t xml:space="preserve">Quedan partidas sin cruce  →  </w:t>
            </w:r>
            <w:r>
              <w:t xml:space="preserve">ACT-04 · Investigar diferencias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investigar" w:id="26"/>
      <w:r>
        <w:t xml:space="preserve">ACT-04 · Investigar diferencias</w:t>
      </w:r>
      <w:bookmarkEnd w:id="26"/>
    </w:p>
    <w:p>
      <w:pPr>
        <w:keepNext/>
        <w:spacing w:after="80"/>
      </w:pPr>
      <w:r>
        <w:rPr>
          <w:i/>
          <w:iCs/>
          <w:color w:val="9A6B00"/>
          <w:sz w:val="18"/>
          <w:szCs w:val="18"/>
        </w:rPr>
        <w:t xml:space="preserve">Tiene preguntas abiertas.</w:t>
      </w:r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investigar">
              <w:r>
                <w:rPr>
                  <w:rStyle w:val="Hyperlink"/>
                </w:rPr>
                <w:t xml:space="preserve">Paso 4</w:t>
              </w:r>
            </w:hyperlink>
            <w:r>
              <w:rPr>
                <w:color w:val="6B7177"/>
              </w:rPr>
              <w:t xml:space="preserve"> · Fase 2: Cuadre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Revisa cada partida del reporte contra los soportes. Si es una consignación sin referencia, llamar al cliente para identificarla; si es una comisión, pedir el soporte al banco.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Analista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Apoyo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Tesorería del cliente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Reporte de partidas sin cruce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Explicación de cada diferencia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rPr>
                <w:i/>
                <w:iCs/>
                <w:color w:val="9A6B00"/>
              </w:rPr>
              <w:t xml:space="preserve">Por confirmar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rPr>
                <w:i/>
                <w:iCs/>
                <w:color w:val="9A6B00"/>
              </w:rPr>
              <w:t xml:space="preserve">Por confirmar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Esperas y eventos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Al terminar espera «Respuesta del cliente» de Tesorería del cliente.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Repetición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Se hace por cada partida sin cruce, uno tras otro.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ACT-05 · Registrar partidas conciliatorias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Problemas conocidos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Las consignaciones sin referencia se demoran porque hay que llamar al cliente.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registrar" w:id="27"/>
      <w:r>
        <w:t xml:space="preserve">ACT-05 · Registrar partidas conciliatorias</w:t>
      </w:r>
      <w:bookmarkEnd w:id="27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registrar">
              <w:r>
                <w:rPr>
                  <w:rStyle w:val="Hyperlink"/>
                </w:rPr>
                <w:t xml:space="preserve">Paso 5</w:t>
              </w:r>
            </w:hyperlink>
            <w:r>
              <w:rPr>
                <w:color w:val="6B7177"/>
              </w:rPr>
              <w:t xml:space="preserve"> · Fase 2: Cuadre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Analista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Explicación de cada diferencia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Partidas conciliatorias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i/>
                <w:iCs/>
                <w:color w:val="9A6B00"/>
              </w:rPr>
              <w:t xml:space="preserve">Por confirmar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1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0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Formatos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hoja" descr="Formato" title="Form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FT-CON-02 · Registro de partidas conciliatorias (v1)</w:t>
            </w:r>
            <w:r>
              <w:rPr>
                <w:color w:val="6B7177"/>
              </w:rPr>
              <w:t xml:space="preserve">  —  </w:t>
            </w:r>
            <w:hyperlink w:history="1" w:anchor="kz_anexos">
              <w:r>
                <w:rPr>
                  <w:rStyle w:val="Hyperlink"/>
                  <w:b/>
                  <w:bCs/>
                </w:rPr>
                <w:t xml:space="preserve">Anexo 1</w:t>
              </w:r>
            </w:hyperlink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Reglas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Toda partida mayor a 90 días se ajusta contra gasto con visto bueno de la jefe.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ACT-06 · Revisar y aprobar la conciliación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revisar" w:id="28"/>
      <w:r>
        <w:t xml:space="preserve">ACT-06 · Revisar y aprobar la conciliación</w:t>
      </w:r>
      <w:bookmarkEnd w:id="28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revisar">
              <w:r>
                <w:rPr>
                  <w:rStyle w:val="Hyperlink"/>
                </w:rPr>
                <w:t xml:space="preserve">Paso 6</w:t>
              </w:r>
            </w:hyperlink>
            <w:r>
              <w:rPr>
                <w:color w:val="6B7177"/>
              </w:rPr>
              <w:t xml:space="preserve"> · Fase 3: Cierre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Jefe de contabilidad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Partidas conciliatorias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Conciliación firmada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Diferencia final en cero o totalmente explicada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0,5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24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Formatos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hoja" descr="Formato" title="Form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FT-CON-01 · Formato de conciliación bancaria (v3)</w:t>
            </w:r>
            <w:r>
              <w:rPr>
                <w:color w:val="6B7177"/>
              </w:rPr>
              <w:t xml:space="preserve">  —  </w:t>
            </w:r>
            <w:hyperlink w:history="1" w:anchor="kz_anexos">
              <w:r>
                <w:rPr>
                  <w:rStyle w:val="Hyperlink"/>
                  <w:b/>
                  <w:bCs/>
                </w:rPr>
                <w:t xml:space="preserve">Anexo 2</w:t>
              </w:r>
            </w:hyperlink>
          </w:p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hoja" descr="Formato" title="Form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FT-CON-04 · Lista de chequeo de cierre</w:t>
            </w:r>
            <w:r>
              <w:rPr>
                <w:color w:val="6B7177"/>
              </w:rPr>
              <w:t xml:space="preserve">  —  </w:t>
            </w:r>
            <w:hyperlink w:history="1" w:anchor="kz_anexos">
              <w:r>
                <w:rPr>
                  <w:rStyle w:val="Hyperlink"/>
                  <w:b/>
                  <w:bCs/>
                </w:rPr>
                <w:t xml:space="preserve">Anexo 3</w:t>
              </w:r>
            </w:hyperlink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Decisión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</w:rPr>
              <w:t xml:space="preserve">¿La jefe aprueba la conciliación?</w:t>
            </w:r>
            <w:r>
              <w:rPr>
                <w:color w:val="6B7177"/>
              </w:rPr>
              <w:t xml:space="preserve">   Decide: Jefe de contabilidad.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9" w:lineRule="auto"/>
            </w:pPr>
            <w:r>
              <w:t xml:space="preserve">Aprobada  →  </w:t>
            </w:r>
            <w:r>
              <w:t xml:space="preserve">ACT-07 · Enviar informe de conciliación al cliente</w:t>
            </w:r>
            <w:r>
              <w:rPr>
                <w:color w:val="6B7177"/>
              </w:rPr>
              <w:t xml:space="preserve">  (camino por defecto)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9" w:lineRule="auto"/>
            </w:pPr>
            <w:r>
              <w:t xml:space="preserve">Con observaciones  →  </w:t>
            </w:r>
            <w:r>
              <w:t xml:space="preserve">ACT-04 · Investigar diferencias</w:t>
            </w:r>
            <w:r>
              <w:rPr>
                <w:color w:val="6B7177"/>
              </w:rPr>
              <w:t xml:space="preserve">  · retrabajo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18 sept 2026</w:t>
            </w:r>
          </w:p>
        </w:tc>
      </w:tr>
    </w:tbl>
    <w:p>
      <w:pPr>
        <w:pStyle w:val="Heading3"/>
      </w:pPr>
      <w:bookmarkStart w:name="kz_ficha_a_enviar" w:id="29"/>
      <w:r>
        <w:t xml:space="preserve">ACT-07 · Enviar informe de conciliación al cliente</w:t>
      </w:r>
      <w:bookmarkEnd w:id="29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enviar">
              <w:r>
                <w:rPr>
                  <w:rStyle w:val="Hyperlink"/>
                </w:rPr>
                <w:t xml:space="preserve">Paso 7</w:t>
              </w:r>
            </w:hyperlink>
            <w:r>
              <w:rPr>
                <w:color w:val="6B7177"/>
              </w:rPr>
              <w:t xml:space="preserve"> · Fase 3: Cierre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Auxiliar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Conciliación firmada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Informe de conciliación</w:t>
            </w:r>
            <w:r>
              <w:rPr>
                <w:color w:val="6B7177"/>
              </w:rPr>
              <w:t xml:space="preserve">  →  recibe Gerencia financiera del cliente (externo)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0,25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0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Correo electrónico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ACT-08 · Archivar la conciliación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archivar" w:id="30"/>
      <w:r>
        <w:t xml:space="preserve">ACT-08 · Archivar la conciliación</w:t>
      </w:r>
      <w:bookmarkEnd w:id="30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archivar">
              <w:r>
                <w:rPr>
                  <w:rStyle w:val="Hyperlink"/>
                </w:rPr>
                <w:t xml:space="preserve">Paso 8</w:t>
              </w:r>
            </w:hyperlink>
            <w:r>
              <w:rPr>
                <w:color w:val="6B7177"/>
              </w:rPr>
              <w:t xml:space="preserve"> · Fase 3: Cierre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Auxiliar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Conciliación firmada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0,1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0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Documentos y sistemas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Carpeta del cliente en SharePoint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Termina el proceso: Conciliación aprobada y archivada.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1"/>
      </w:pPr>
      <w:bookmarkStart w:name="kz_t23" w:id="31"/>
      <w:r>
        <w:t xml:space="preserve">7. Referencias</w:t>
      </w:r>
      <w:bookmarkEnd w:id="31"/>
    </w:p>
    <w:p>
      <w:r>
        <w:t xml:space="preserve">Normas, políticas, procedimientos y leyes relacionados con este proceso.</w:t>
      </w:r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1500"/>
        <w:gridCol w:w="3560"/>
        <w:gridCol w:w="2000"/>
        <w:gridCol w:w="2300"/>
      </w:tblGrid>
      <w:tr>
        <w:trPr>
          <w:cantSplit/>
          <w:tblHeader/>
        </w:trPr>
        <w:tc>
          <w:tcPr>
            <w:tcW w:type="dxa" w:w="15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Código</w:t>
            </w:r>
          </w:p>
        </w:tc>
        <w:tc>
          <w:tcPr>
            <w:tcW w:type="dxa" w:w="356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Referencia</w:t>
            </w:r>
          </w:p>
        </w:tc>
        <w:tc>
          <w:tcPr>
            <w:tcW w:type="dxa" w:w="20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Tipo</w:t>
            </w:r>
          </w:p>
        </w:tc>
        <w:tc>
          <w:tcPr>
            <w:tcW w:type="dxa" w:w="23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PO-CON-01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Política de conciliaciones bancarias del despacho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Documento interno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PR-CON-02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Procedimiento de cierre contable mensual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Documento interno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—</w:t>
            </w:r>
          </w:p>
        </w:tc>
      </w:tr>
    </w:tbl>
    <w:sectPr>
      <w:headerReference w:type="default" r:id="rId19"/>
      <w:footerReference w:type="default" r:id="rId20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360"/>
      </w:tabs>
    </w:pPr>
    <w:r>
      <w:t xml:space="preserve">Borrador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4112"/>
      </w:tabs>
    </w:pPr>
    <w:r>
      <w:t xml:space="preserve">Borrador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0512"/>
      </w:tabs>
    </w:pPr>
    <w:r>
      <w:t xml:space="preserve">Borrador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0512"/>
      </w:tabs>
    </w:pPr>
    <w:r>
      <w:t xml:space="preserve">Borrador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0512"/>
      </w:tabs>
    </w:pPr>
    <w:r>
      <w:t xml:space="preserve">Borrador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360"/>
      </w:tabs>
    </w:pPr>
    <w:r>
      <w:t xml:space="preserve">Borrador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9360"/>
      </w:tabs>
    </w:pPr>
    <w:r>
      <w:t xml:space="preserve">Conciliación bancaria mensual</w:t>
    </w:r>
    <w:r>
      <w:tab/>
      <w:t xml:space="preserve">PR-CON-01 · As-Is v1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14112"/>
      </w:tabs>
    </w:pPr>
    <w:r>
      <w:t xml:space="preserve">Conciliación bancaria mensual</w:t>
    </w:r>
    <w:r>
      <w:tab/>
      <w:t xml:space="preserve">PR-CON-01 · As-Is v1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10512"/>
      </w:tabs>
    </w:pPr>
    <w:r>
      <w:t xml:space="preserve">Conciliación bancaria mensual</w:t>
    </w:r>
    <w:r>
      <w:tab/>
      <w:t xml:space="preserve">PR-CON-01 · As-Is v1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10512"/>
      </w:tabs>
    </w:pPr>
    <w:r>
      <w:t xml:space="preserve">Conciliación bancaria mensual</w:t>
    </w:r>
    <w:r>
      <w:tab/>
      <w:t xml:space="preserve">PR-CON-01 · As-Is v1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10512"/>
      </w:tabs>
    </w:pPr>
    <w:r>
      <w:t xml:space="preserve">Conciliación bancaria mensual</w:t>
    </w:r>
    <w:r>
      <w:tab/>
      <w:t xml:space="preserve">PR-CON-01 · As-Is v1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9360"/>
      </w:tabs>
    </w:pPr>
    <w:r>
      <w:t xml:space="preserve">Conciliación bancaria mensual</w:t>
    </w:r>
    <w:r>
      <w:tab/>
      <w:t xml:space="preserve">PR-CON-01 · As-Is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20" w:hanging="280"/>
      </w:pPr>
      <w:rPr>
        <w:color w:val="F9420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92E"/>
        <w:sz w:val="20"/>
        <w:szCs w:val="20"/>
        <w:lang w:val="es-CO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2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300"/>
      <w:outlineLvl w:val="2"/>
    </w:pPr>
    <w:rPr>
      <w:rFonts w:ascii="Arial" w:cs="Arial" w:eastAsia="Arial" w:hAnsi="Arial"/>
      <w:b/>
      <w:bCs/>
      <w:color w:val="111111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F5FAD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pPr>
      <w:spacing w:after="0" w:before="0" w:line="240" w:lineRule="auto"/>
    </w:pPr>
    <w:rPr>
      <w:color w:val="6B7177"/>
      <w:sz w:val="16"/>
      <w:szCs w:val="16"/>
    </w:rPr>
  </w:style>
  <w:style w:type="paragraph" w:styleId="Footer">
    <w:name w:val="footer"/>
    <w:basedOn w:val="Normal"/>
    <w:pPr>
      <w:spacing w:after="0" w:before="0" w:line="240" w:lineRule="auto"/>
    </w:pPr>
    <w:rPr>
      <w:color w:val="6B7177"/>
      <w:sz w:val="16"/>
      <w:szCs w:val="16"/>
    </w:rPr>
  </w:style>
  <w:style w:type="paragraph" w:styleId="TOC1">
    <w:name w:val="toc 1"/>
    <w:basedOn w:val="Normal"/>
    <w:next w:val="Normal"/>
    <w:pPr>
      <w:spacing w:after="40" w:before="140"/>
    </w:pPr>
    <w:rPr>
      <w:b/>
      <w:bCs/>
      <w:color w:val="111111"/>
      <w:sz w:val="20"/>
      <w:szCs w:val="20"/>
    </w:rPr>
  </w:style>
  <w:style w:type="paragraph" w:styleId="TOC2">
    <w:name w:val="toc 2"/>
    <w:basedOn w:val="Normal"/>
    <w:next w:val="Normal"/>
    <w:pPr>
      <w:spacing w:after="30" w:before="0"/>
      <w:ind w:left="300"/>
    </w:pPr>
    <w:rPr>
      <w:sz w:val="20"/>
      <w:szCs w:val="20"/>
    </w:rPr>
  </w:style>
  <w:style w:type="paragraph" w:styleId="TOC3">
    <w:name w:val="toc 3"/>
    <w:basedOn w:val="Normal"/>
    <w:next w:val="Normal"/>
    <w:pPr>
      <w:spacing w:after="20" w:before="0"/>
      <w:ind w:left="600"/>
    </w:pPr>
    <w:rPr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6f7cb53f3f3d3c0817577ce6c36faa64be5d2e6d.png"/><Relationship Id="rId22" Type="http://schemas.openxmlformats.org/officeDocument/2006/relationships/image" Target="media/b5c33d8df555cbab38a966195873715c90d7e191.png"/><Relationship Id="rId23" Type="http://schemas.openxmlformats.org/officeDocument/2006/relationships/image" Target="media/70d0d3e9b0a340d540209d80fc62b3d4855e2b12.png"/><Relationship Id="rId24" Type="http://schemas.openxmlformats.org/officeDocument/2006/relationships/image" Target="media/2864ac8412ae6de6b9e5c329004891426d25947a.png"/><Relationship Id="rId25" Type="http://schemas.openxmlformats.org/officeDocument/2006/relationships/image" Target="media/7086da76fd2e8ee47e0831d368977c9ed9254aab.png"/><Relationship Id="rId26" Type="http://schemas.openxmlformats.org/officeDocument/2006/relationships/image" Target="media/1d4d243c2010326ac90fae3a6268f20b1423909f.png"/><Relationship Id="rId27" Type="http://schemas.openxmlformats.org/officeDocument/2006/relationships/image" Target="media/0dff4c8dc6b7d210d3bce9649c308371c7f33675.png"/><Relationship Id="rId28" Type="http://schemas.openxmlformats.org/officeDocument/2006/relationships/image" Target="media/4b622c0aa9ef352327b367e3d6acd7b4e8317c1f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PR-CON-01 Conciliación bancaria mensual</dc:title>
  <dc:creator>Kaze · Captura de procesos</dc:creator>
  <dc:description>Documento del proceso Conciliación bancaria mensual · As-Is v1</dc:description>
  <cp:lastModifiedBy>Un-named</cp:lastModifiedBy>
  <cp:revision>1</cp:revision>
  <dcterms:created xsi:type="dcterms:W3CDTF">2026-09-24T08:26:26.979Z</dcterms:created>
  <dcterms:modified xsi:type="dcterms:W3CDTF">2026-09-24T08:26:26.979Z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