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1.12.0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Passport and National ID files,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two document slots.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customer documents</w:t>
      </w:r>
    </w:p>
    <w:p>
      <w:pPr>
        <w:spacing w:after="80" w:before="0"/>
      </w:pPr>
      <w:r>
        <w:rPr>
          <w:sz w:val="21"/>
          <w:szCs w:val="21"/>
        </w:rPr>
        <w:t xml:space="preserve">Returns all customer document files with safe metadata. Private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Add a customer document</w:t>
      </w:r>
    </w:p>
    <w:p>
      <w:pPr>
        <w:spacing w:after="80" w:before="0"/>
      </w:pPr>
      <w:r>
        <w:rPr>
          <w:sz w:val="21"/>
          <w:szCs w:val="21"/>
        </w:rPr>
        <w:t xml:space="preserve">Adds or replaces a document in the customer document collection. Requires KYC_GATHER.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addCustomerDocument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slot.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document-slot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Passport or National ID slot.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PUT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Upload or replace a customer document</w:t>
      </w:r>
    </w:p>
    <w:p>
      <w:pPr>
        <w:spacing w:after="80" w:before="0"/>
      </w:pPr>
      <w:r>
        <w:rPr>
          <w:sz w:val="21"/>
          <w:szCs w:val="21"/>
        </w:rPr>
        <w:t xml:space="preserve">Uploads or replaces one private Passport or National ID file. Requires KYC_GATHER; accepts JPEG, PNG or PDF up to exactly 4 MiB after MIME and file-signature validation.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putCustomerDocument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JPEG, PNG or PDF whose declared MIME type matches its file signature; maximum 4,194,304 bytes.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Passport or National ID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Document content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Passport or national identity number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issue date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 name shown on the evidence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 name shown on the evidence when applicable.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/kyc-cases/{caseReference}/evidence/{evidenceReference}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evidence metadata</w:t>
      </w:r>
    </w:p>
    <w:p>
      <w:pPr>
        <w:spacing w:after="80" w:before="0"/>
      </w:pPr>
      <w:r>
        <w:rPr>
          <w:sz w:val="21"/>
          <w:szCs w:val="21"/>
        </w:rPr>
        <w:t xml:space="preserve">Update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patchKycCasesCaseReferenceEvidenceEvidenceReference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/kyc-cases/{caseReference}/lock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Lock or unlock a KYC case</w:t>
      </w:r>
    </w:p>
    <w:p>
      <w:pPr>
        <w:spacing w:after="80" w:before="0"/>
      </w:pPr>
      <w:r>
        <w:rPr>
          <w:sz w:val="21"/>
          <w:szCs w:val="21"/>
        </w:rPr>
        <w:t xml:space="preserve">Toggles the KYC case lock. All authenticated staff personas may use this control; while locked, KYC mutations are rejected.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postKycCasesCaseReferenceLock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locked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 to lock; false to unlock.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 for the lock state change.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KYC case version. — 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2026-08-05T07:39:33.410Z</dcterms:created>
  <dcterms:modified xsi:type="dcterms:W3CDTF">2026-08-05T07:39:33.411Z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