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1.12.0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the scalable customer document collection,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customer document collection.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customer documents</w:t>
      </w:r>
    </w:p>
    <w:p>
      <w:pPr>
        <w:spacing w:after="80" w:before="0"/>
      </w:pPr>
      <w:r>
        <w:rPr>
          <w:sz w:val="21"/>
          <w:szCs w:val="21"/>
        </w:rPr>
        <w:t xml:space="preserve">Returns all customer document files with safe metadata. Use documentReference to retrieve, stream or delete a file.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Add a customer document</w:t>
      </w:r>
    </w:p>
    <w:p>
      <w:pPr>
        <w:spacing w:after="80" w:before="0"/>
      </w:pPr>
      <w:r>
        <w:rPr>
          <w:sz w:val="21"/>
          <w:szCs w:val="21"/>
        </w:rPr>
        <w:t xml:space="preserve">Adds or replaces a document in the customer document collection. Requires KYC_GATHER.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addCustomerDocument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/customers/{customerNumber}/documents/{documentReference}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document reference.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/customers/{customerNumber}/documents/{documentReference}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document-document reference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any customer document document reference.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/customers/{customerNumber}/documents/{documentReference}/content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any customer document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encoding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 to base64 for a JSON-wrapped compatibility response when the client cannot preserve binary HTTP bodies.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Base64DocumentContent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Passport or national identity number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/kyc-cases/{caseReference}/evidence/{evidenceReference}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2026-09-24T10:32:25.882Z</dcterms:created>
  <dcterms:modified xsi:type="dcterms:W3CDTF">2026-09-24T10:32:25.883Z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