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31021a1797a56f2efb3f802f283a82334e8a0d1"/>
    <w:p>
      <w:pPr>
        <w:pStyle w:val="Heading1"/>
      </w:pPr>
      <w:r>
        <w:t xml:space="preserve">Diagramatix Feature Comparison — July 2026 (rev 3)</w:t>
      </w:r>
    </w:p>
    <w:bookmarkStart w:id="9" w:name="X40bfa75883298e912b1b0b744ef0242ee75b805"/>
    <w:p>
      <w:pPr>
        <w:pStyle w:val="Heading2"/>
      </w:pPr>
      <w:r>
        <w:t xml:space="preserve">Diagramatix vs SAP Signavio, ARIS, and PRIME BPM</w:t>
      </w:r>
    </w:p>
    <w:p>
      <w:pPr>
        <w:pStyle w:val="FirstParagraph"/>
      </w:pPr>
      <w:r>
        <w:rPr>
          <w:b/>
          <w:bCs/>
        </w:rPr>
        <w:t xml:space="preserve">Prepared:</w:t>
      </w:r>
      <w:r>
        <w:t xml:space="preserve"> </w:t>
      </w:r>
      <w:r>
        <w:t xml:space="preserve">7 July 2026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the 5 July 2026 edition (rev 2) — which superseded the 4 July refresh and the 21 June edition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current Diagramatix feature catalogue compared against publicly described capabilities of SAP Signavio, Software AG</w:t>
      </w:r>
      <w:r>
        <w:t xml:space="preserve"> </w:t>
      </w:r>
      <w:r>
        <w:rPr>
          <w:b/>
          <w:bCs/>
        </w:rPr>
        <w:t xml:space="preserve">ARIS</w:t>
      </w:r>
      <w:r>
        <w:t xml:space="preserve">, and</w:t>
      </w:r>
      <w:r>
        <w:t xml:space="preserve"> </w:t>
      </w:r>
      <w:r>
        <w:rPr>
          <w:b/>
          <w:bCs/>
        </w:rPr>
        <w:t xml:space="preserve">PRIME BPM</w:t>
      </w:r>
      <w:r>
        <w:t xml:space="preserve">. Celonis is referenced as the process-mining benchmark where relevant.</w:t>
      </w:r>
    </w:p>
    <w:p>
      <w:r>
        <w:pict>
          <v:rect style="width:0;height:1.5pt" o:hralign="center" o:hrstd="t" o:hr="t"/>
        </w:pict>
      </w:r>
    </w:p>
    <w:bookmarkEnd w:id="9"/>
    <w:bookmarkStart w:id="10" w:name="X647fdb4e345d24d5a5c7e95282f780678929a39"/>
    <w:p>
      <w:pPr>
        <w:pStyle w:val="Heading2"/>
      </w:pPr>
      <w:r>
        <w:t xml:space="preserve">Update — 7 July 2026 (rev 3): continuous, org-wide compliance monitoring</w:t>
      </w:r>
    </w:p>
    <w:p>
      <w:pPr>
        <w:pStyle w:val="FirstParagraph"/>
      </w:pPr>
      <w:r>
        <w:t xml:space="preserve">Since the 5 July edition, Diagramatix extended GRC from a point-in-time matrix to</w:t>
      </w:r>
      <w:r>
        <w:t xml:space="preserve"> </w:t>
      </w:r>
      <w:r>
        <w:rPr>
          <w:b/>
          <w:bCs/>
        </w:rPr>
        <w:t xml:space="preserve">continuous, organisation-wide compliance monitoring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 Monitoring console.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org-level</w:t>
      </w:r>
      <w:r>
        <w:t xml:space="preserve"> </w:t>
      </w:r>
      <w:r>
        <w:t xml:space="preserve">console (a peer of the Simulator, Miner and Risk &amp; Control screens) that trends</w:t>
      </w:r>
      <w:r>
        <w:t xml:space="preserve"> </w:t>
      </w:r>
      <w:r>
        <w:rPr>
          <w:b/>
          <w:bCs/>
        </w:rPr>
        <w:t xml:space="preserve">control operating-effectiveness over time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project in the organisation, assembled from the retained process-mining runs. It shows an org-wide</w:t>
      </w:r>
      <w:r>
        <w:t xml:space="preserve"> </w:t>
      </w:r>
      <w:r>
        <w:rPr>
          <w:b/>
          <w:bCs/>
        </w:rPr>
        <w:t xml:space="preserve">effectiveness-vs-conformance-fitness trend</w:t>
      </w:r>
      <w:r>
        <w:t xml:space="preserve">, per-control trend charts,</w:t>
      </w:r>
      <w:r>
        <w:t xml:space="preserve"> </w:t>
      </w:r>
      <w:r>
        <w:rPr>
          <w:b/>
          <w:bCs/>
        </w:rPr>
        <w:t xml:space="preserve">below-threshold and declining-control alerts</w:t>
      </w:r>
      <w:r>
        <w:t xml:space="preserve">, and a by-project posture table — with per-run</w:t>
      </w:r>
      <w:r>
        <w:t xml:space="preserve"> </w:t>
      </w:r>
      <w:r>
        <w:rPr>
          <w:b/>
          <w:bCs/>
        </w:rPr>
        <w:t xml:space="preserve">include/exclude</w:t>
      </w:r>
      <w:r>
        <w:t xml:space="preserve"> </w:t>
      </w:r>
      <w:r>
        <w:t xml:space="preserve">so throwaway/test runs don’t skew the trend.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Org-wide Risk &amp; Control numbering + Org Owner.</w:t>
      </w:r>
      <w:r>
        <w:t xml:space="preserve"> </w:t>
      </w:r>
      <w:r>
        <w:t xml:space="preserve">Risk / Control / Policy codes (</w:t>
      </w:r>
      <w:r>
        <w:rPr>
          <w:rStyle w:val="VerbatimChar"/>
        </w:rPr>
        <w:t xml:space="preserve">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…) are now a single</w:t>
      </w:r>
      <w:r>
        <w:t xml:space="preserve"> </w:t>
      </w:r>
      <w:r>
        <w:rPr>
          <w:b/>
          <w:bCs/>
        </w:rPr>
        <w:t xml:space="preserve">organisation-wide</w:t>
      </w:r>
      <w:r>
        <w:t xml:space="preserve"> </w:t>
      </w:r>
      <w:r>
        <w:t xml:space="preserve">sequence shared across all of an org’s projects, so the same control reads the same code everywhere. A SuperAdmin-settable</w:t>
      </w:r>
      <w:r>
        <w:t xml:space="preserve"> </w:t>
      </w:r>
      <w:r>
        <w:rPr>
          <w:b/>
          <w:bCs/>
        </w:rPr>
        <w:t xml:space="preserve">Org Owner</w:t>
      </w:r>
      <w:r>
        <w:t xml:space="preserve"> </w:t>
      </w:r>
      <w:r>
        <w:t xml:space="preserve">governs which organisation a project — and its numbering — belongs 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RCM analytics + on-model highlight.</w:t>
      </w:r>
      <w:r>
        <w:t xml:space="preserve"> </w:t>
      </w:r>
      <w:r>
        <w:t xml:space="preserve">An in-console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view (coverage, inherent/residual risk posture, control type/automation mix, operating-effectiveness distribution) plus</w:t>
      </w:r>
      <w:r>
        <w:t xml:space="preserve"> </w:t>
      </w:r>
      <w:r>
        <w:rPr>
          <w:b/>
          <w:bCs/>
        </w:rPr>
        <w:t xml:space="preserve">red/green highlighting</w:t>
      </w:r>
      <w:r>
        <w:t xml:space="preserve"> </w:t>
      </w:r>
      <w:r>
        <w:t xml:space="preserve">of risk- and control-carrying steps directly on the diagram, and one-click navigation from a control to the exact step it guards.</w:t>
      </w:r>
    </w:p>
    <w:p>
      <w:pPr>
        <w:pStyle w:val="FirstParagraph"/>
      </w:pPr>
      <w:r>
        <w:rPr>
          <w:b/>
          <w:bCs/>
        </w:rPr>
        <w:t xml:space="preserve">Net effect:</w:t>
      </w:r>
      <w:r>
        <w:t xml:space="preserve"> </w:t>
      </w:r>
      <w:r>
        <w:t xml:space="preserve">the governance story moves from</w:t>
      </w:r>
      <w:r>
        <w:t xml:space="preserve"> </w:t>
      </w:r>
      <w:r>
        <w:rPr>
          <w:i/>
          <w:iCs/>
        </w:rPr>
        <w:t xml:space="preserve">“produce a Risk-Control Matrix”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“monitor whether controls keep operating — organisation-wide, over time.”</w:t>
      </w:r>
      <w:r>
        <w:t xml:space="preserve"> </w:t>
      </w:r>
      <w:r>
        <w:t xml:space="preserve">This begins to close the previously-noted</w:t>
      </w:r>
      <w:r>
        <w:t xml:space="preserve"> </w:t>
      </w:r>
      <w:r>
        <w:rPr>
          <w:b/>
          <w:bCs/>
        </w:rPr>
        <w:t xml:space="preserve">org-wide analytics</w:t>
      </w:r>
      <w:r>
        <w:t xml:space="preserve"> </w:t>
      </w:r>
      <w:r>
        <w:t xml:space="preserve">gap for the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domain specifically (control-effectiveness trending across projects) — a capability the enterprise suites deliver only by combining a separate process-intelligence product with a separate GRC product.</w:t>
      </w:r>
    </w:p>
    <w:p>
      <w:r>
        <w:pict>
          <v:rect style="width:0;height:1.5pt" o:hralign="center" o:hrstd="t" o:hr="t"/>
        </w:pict>
      </w:r>
    </w:p>
    <w:bookmarkEnd w:id="10"/>
    <w:bookmarkStart w:id="11" w:name="X56b099fa31e9f47fe03cd0e7033c7a6a1668206"/>
    <w:p>
      <w:pPr>
        <w:pStyle w:val="Heading2"/>
      </w:pPr>
      <w:r>
        <w:t xml:space="preserve">Earlier context — the GRC addition (5 July 2026)</w:t>
      </w:r>
    </w:p>
    <w:p>
      <w:pPr>
        <w:pStyle w:val="FirstParagraph"/>
      </w:pPr>
      <w:r>
        <w:t xml:space="preserve">The 21 June comparison called out</w:t>
      </w:r>
      <w:r>
        <w:t xml:space="preserve"> </w:t>
      </w:r>
      <w:r>
        <w:rPr>
          <w:b/>
          <w:bCs/>
        </w:rPr>
        <w:t xml:space="preserve">process mining/conformance</w:t>
      </w:r>
      <w:r>
        <w:t xml:space="preserve"> </w:t>
      </w:r>
      <w:r>
        <w:t xml:space="preserve">as Diagramatix’s clearest gap; the 4 July refresh closed it. Since then Diagramatix has also shipped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historically-missing enterprise pillar —</w:t>
      </w:r>
      <w:r>
        <w:t xml:space="preserve"> </w:t>
      </w:r>
      <w:r>
        <w:rPr>
          <w:b/>
          <w:bCs/>
        </w:rPr>
        <w:t xml:space="preserve">Risk &amp; Compliance / GRC</w:t>
      </w:r>
      <w:r>
        <w:t xml:space="preserve"> </w:t>
      </w:r>
      <w:r>
        <w:t xml:space="preserve">— and, critically, wired it to the mining engine: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Risk &amp; Control on the process model.</w:t>
      </w:r>
      <w:r>
        <w:t xml:space="preserve"> </w:t>
      </w:r>
      <w:r>
        <w:t xml:space="preserve">Attach</w:t>
      </w:r>
      <w:r>
        <w:t xml:space="preserve"> </w:t>
      </w:r>
      <w:r>
        <w:rPr>
          <w:b/>
          <w:bCs/>
        </w:rPr>
        <w:t xml:space="preserve">Risks and Controls</w:t>
      </w:r>
      <w:r>
        <w:t xml:space="preserve"> </w:t>
      </w:r>
      <w:r>
        <w:t xml:space="preserve">(and Policies, Regulations, Audit Findings, KRIs, KPIs) to the real process steps, from an org-master catalog each project adopts. Controls carry type (preventive/detective/corrective), automation (manual/automated/IT-dependent), owner, framework reference, evidence, test method and residual-risk rating.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Risk-Control Matrix (RCM) export.</w:t>
      </w:r>
      <w:r>
        <w:t xml:space="preserve"> </w:t>
      </w:r>
      <w:r>
        <w:t xml:space="preserve">One click produces the auditor-standard, flat</w:t>
      </w:r>
      <w:r>
        <w:t xml:space="preserve"> </w:t>
      </w:r>
      <w:r>
        <w:rPr>
          <w:b/>
          <w:bCs/>
        </w:rPr>
        <w:t xml:space="preserve">Activity × Risk × Control</w:t>
      </w:r>
      <w:r>
        <w:t xml:space="preserve"> </w:t>
      </w:r>
      <w:r>
        <w:t xml:space="preserve">grid (plus registers, a coverage summary and a full</w:t>
      </w:r>
      <w:r>
        <w:t xml:space="preserve"> </w:t>
      </w:r>
      <w:r>
        <w:rPr>
          <w:b/>
          <w:bCs/>
        </w:rPr>
        <w:t xml:space="preserve">traceability</w:t>
      </w:r>
      <w:r>
        <w:t xml:space="preserve"> </w:t>
      </w:r>
      <w:r>
        <w:t xml:space="preserve">sheet), in Excel.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+ Segregation-of-Duties checks.</w:t>
      </w:r>
      <w:r>
        <w:t xml:space="preserve"> </w:t>
      </w:r>
      <w:r>
        <w:t xml:space="preserve">The diagram scan flags a Risk with no mitigating Control, and a lane that both raises and approves the same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Traceability graph.</w:t>
      </w:r>
      <w:r>
        <w:t xml:space="preserve"> </w:t>
      </w:r>
      <w:r>
        <w:t xml:space="preserve">A directed</w:t>
      </w:r>
      <w:r>
        <w:t xml:space="preserve"> </w:t>
      </w:r>
      <w:r>
        <w:rPr>
          <w:b/>
          <w:bCs/>
        </w:rPr>
        <w:t xml:space="preserve">activity → risk → control → policy → regulation</w:t>
      </w:r>
      <w:r>
        <w:t xml:space="preserve"> </w:t>
      </w:r>
      <w:r>
        <w:t xml:space="preserve">(with KRIs/KPIs) graph, exportable — end-to-end from a BPMN step to the controls and regulations that govern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 operating-effectiveness from mined data.</w:t>
      </w:r>
      <w:r>
        <w:t xml:space="preserve"> </w:t>
      </w:r>
      <w:r>
        <w:t xml:space="preserve">Tie a Control to the mining-conformance deviation a bypass would produce, and the RCM shows it was</w:t>
      </w:r>
      <w:r>
        <w:t xml:space="preserve"> </w:t>
      </w:r>
      <w:r>
        <w:rPr>
          <w:b/>
          <w:bCs/>
        </w:rPr>
        <w:t xml:space="preserve">“bypassed in N of M cases”</w:t>
      </w:r>
      <w:r>
        <w:t xml:space="preserve"> </w:t>
      </w:r>
      <w:r>
        <w:t xml:space="preserve">— evidence the control is actually</w:t>
      </w:r>
      <w:r>
        <w:t xml:space="preserve"> </w:t>
      </w:r>
      <w:r>
        <w:rPr>
          <w:i/>
          <w:iCs/>
        </w:rPr>
        <w:t xml:space="preserve">operating</w:t>
      </w:r>
      <w:r>
        <w:t xml:space="preserve">, computed from the real event log.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3rd example catalog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Risk &amp; Control (GRC) Examples</w:t>
      </w:r>
      <w:r>
        <w:t xml:space="preserve"> </w:t>
      </w:r>
      <w:r>
        <w:t xml:space="preserve">— parallel to the Simulator and Mining galleries, with a one-click Order-to-Cash study (real process + risks/controls + a mined run proving effectiveness).</w:t>
      </w:r>
    </w:p>
    <w:p>
      <w:pPr>
        <w:pStyle w:val="FirstParagraph"/>
      </w:pPr>
      <w:r>
        <w:t xml:space="preserve">Net effect: Diagramatix now spans</w:t>
      </w:r>
      <w:r>
        <w:t xml:space="preserve"> </w:t>
      </w:r>
      <w:r>
        <w:rPr>
          <w:b/>
          <w:bCs/>
        </w:rPr>
        <w:t xml:space="preserve">model → publish → mine → conform → simulate → govern → improve</w:t>
      </w:r>
      <w:r>
        <w:t xml:space="preserve"> </w:t>
      </w:r>
      <w:r>
        <w:t xml:space="preserve">in one workspace. The two capabilities that used to be</w:t>
      </w:r>
      <w:r>
        <w:t xml:space="preserve"> </w:t>
      </w:r>
      <w:r>
        <w:t xml:space="preserve">“enterprise-suite only”</w:t>
      </w:r>
      <w:r>
        <w:t xml:space="preserve"> </w:t>
      </w:r>
      <w:r>
        <w:t xml:space="preserve">— process mining and GRC — are both present</w:t>
      </w:r>
      <w:r>
        <w:t xml:space="preserve"> </w:t>
      </w:r>
      <w:r>
        <w:rPr>
          <w:i/>
          <w:iCs/>
        </w:rPr>
        <w:t xml:space="preserve">and integrated with each other</w:t>
      </w:r>
      <w:r>
        <w:t xml:space="preserve">, which even the enterprise suites keep in separate products.</w:t>
      </w:r>
    </w:p>
    <w:p>
      <w:r>
        <w:pict>
          <v:rect style="width:0;height:1.5pt" o:hralign="center" o:hrstd="t" o:hr="t"/>
        </w:pict>
      </w:r>
    </w:p>
    <w:bookmarkEnd w:id="11"/>
    <w:bookmarkStart w:id="12" w:name="basis-of-comparison"/>
    <w:p>
      <w:pPr>
        <w:pStyle w:val="Heading2"/>
      </w:pPr>
      <w:r>
        <w:t xml:space="preserve">Basis of comparison</w:t>
      </w:r>
    </w:p>
    <w:p>
      <w:pPr>
        <w:pStyle w:val="FirstParagraph"/>
      </w:pPr>
      <w:r>
        <w:t xml:space="preserve">The Diagramatix side is grounded in the shipped feature catalogue. The comparator side is based on public product pages and documentation — this is a</w:t>
      </w:r>
      <w:r>
        <w:t xml:space="preserve"> </w:t>
      </w:r>
      <w:r>
        <w:rPr>
          <w:b/>
          <w:bCs/>
        </w:rPr>
        <w:t xml:space="preserve">public-document comparison, not a hands-on bake-off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Strong</w:t>
      </w:r>
      <w:r>
        <w:t xml:space="preserve"> </w:t>
      </w:r>
      <w:r>
        <w:t xml:space="preserve">— clear public evidence of a matching or very close capability.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Partial</w:t>
      </w:r>
      <w:r>
        <w:t xml:space="preserve"> </w:t>
      </w:r>
      <w:r>
        <w:t xml:space="preserve">— an adjacent capability, but not the exact Diagramatix feature as described.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found</w:t>
      </w:r>
      <w:r>
        <w:t xml:space="preserve"> </w:t>
      </w:r>
      <w:r>
        <w:t xml:space="preserve">— no reliable public evidence for that exact feature (this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prove absence).</w:t>
      </w:r>
    </w:p>
    <w:p>
      <w:r>
        <w:pict>
          <v:rect style="width:0;height:1.5pt" o:hralign="center" o:hrstd="t" o:hr="t"/>
        </w:pict>
      </w:r>
    </w:p>
    <w:bookmarkEnd w:id="12"/>
    <w:bookmarkStart w:id="1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Diagramatix</w:t>
      </w:r>
      <w:r>
        <w:t xml:space="preserve"> </w:t>
      </w:r>
      <w:r>
        <w:t xml:space="preserve">is now a</w:t>
      </w:r>
      <w:r>
        <w:t xml:space="preserve"> </w:t>
      </w:r>
      <w:r>
        <w:rPr>
          <w:b/>
          <w:bCs/>
        </w:rPr>
        <w:t xml:space="preserve">full-loop process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for the SMB and mid-market</w:t>
      </w:r>
      <w:r>
        <w:t xml:space="preserve">: author in any notation, publish to a business audience, mine the real process from event logs, check conformance, calibrate a digital twin, simulate the redesign — and govern it with risks, controls and a Risk-Control Matrix, all without leaving the tool. Its distinctive, hard-to-match claims are now: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closed mine → conform → simulate → improve loop in one product.</w:t>
      </w:r>
      <w:r>
        <w:t xml:space="preserve"> </w:t>
      </w:r>
      <w:r>
        <w:t xml:space="preserve">Most tools do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mining (Celonis, Signavio PI, ARIS Mining)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modelling+simulation (Signavio Modeler, ARIS, PRIME). Diagramatix does both and</w:t>
      </w:r>
      <w:r>
        <w:t xml:space="preserve"> </w:t>
      </w:r>
      <w:r>
        <w:rPr>
          <w:b/>
          <w:bCs/>
        </w:rPr>
        <w:t xml:space="preserve">wires mining output straight into a calibrated simulation twin</w:t>
      </w:r>
      <w:r>
        <w:t xml:space="preserve"> </w:t>
      </w:r>
      <w:r>
        <w:t xml:space="preserve">— a workflow even the enterprise suites keep in separate modules.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 on the process, proven by data — and monitored over time.</w:t>
      </w:r>
      <w:r>
        <w:t xml:space="preserve"> </w:t>
      </w:r>
      <w:r>
        <w:t xml:space="preserve">Attach Risks &amp; Controls to the real steps, produce a Risk-Control Matrix, and — uniquely at this tier — see each control’s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 </w:t>
      </w:r>
      <w:r>
        <w:t xml:space="preserve">(</w:t>
      </w:r>
      <w:r>
        <w:t xml:space="preserve">“bypassed in N of M cases”</w:t>
      </w:r>
      <w:r>
        <w:t xml:space="preserve">) computed from the</w:t>
      </w:r>
      <w:r>
        <w:t xml:space="preserve"> </w:t>
      </w:r>
      <w:r>
        <w:rPr>
          <w:i/>
          <w:iCs/>
        </w:rPr>
        <w:t xml:space="preserve">mined conformance</w:t>
      </w:r>
      <w:r>
        <w:t xml:space="preserve">, now</w:t>
      </w:r>
      <w:r>
        <w:t xml:space="preserve"> </w:t>
      </w:r>
      <w:r>
        <w:rPr>
          <w:b/>
          <w:bCs/>
        </w:rPr>
        <w:t xml:space="preserve">trended organisation-wide over time</w:t>
      </w:r>
      <w:r>
        <w:t xml:space="preserve"> </w:t>
      </w:r>
      <w:r>
        <w:t xml:space="preserve">in a dedicated</w:t>
      </w:r>
      <w:r>
        <w:t xml:space="preserve"> </w:t>
      </w:r>
      <w:r>
        <w:rPr>
          <w:b/>
          <w:bCs/>
        </w:rPr>
        <w:t xml:space="preserve">Compliance Monitoring</w:t>
      </w:r>
      <w:r>
        <w:t xml:space="preserve"> </w:t>
      </w:r>
      <w:r>
        <w:t xml:space="preserve">console with declining-control alerts. Enterprise GRC suites keep risk/control and process mining in separate products; Diagramatix does both on one model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monitors compliance continuously.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Entity-lifecycle mining + state-machine conformance.</w:t>
      </w:r>
      <w:r>
        <w:t xml:space="preserve"> </w:t>
      </w:r>
      <w:r>
        <w:t xml:space="preserve">Beyond directly-follows BPMN discovery, Diagramatix mines the business entity’s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w:r>
        <w:t xml:space="preserve">and replays it against a reference lifecycle — conformance framed as</w:t>
      </w:r>
      <w:r>
        <w:t xml:space="preserve"> </w:t>
      </w:r>
      <w:r>
        <w:rPr>
          <w:i/>
          <w:iCs/>
        </w:rPr>
        <w:t xml:space="preserve">legal states/transitions</w:t>
      </w:r>
      <w:r>
        <w:t xml:space="preserve">, unusually precise for this tier.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Broad multi-notation editing</w:t>
      </w:r>
      <w:r>
        <w:t xml:space="preserve"> </w:t>
      </w:r>
      <w:r>
        <w:t xml:space="preserve">(BPMN, ArchiMate, UML, Value Chain, State Machine, Domain, Context…),</w:t>
      </w:r>
      <w:r>
        <w:t xml:space="preserve"> </w:t>
      </w:r>
      <w:r>
        <w:rPr>
          <w:b/>
          <w:bCs/>
        </w:rPr>
        <w:t xml:space="preserve">text-, image- and voice-to-diagram</w:t>
      </w:r>
      <w:r>
        <w:t xml:space="preserve">,</w:t>
      </w:r>
      <w:r>
        <w:t xml:space="preserve"> </w:t>
      </w:r>
      <w:r>
        <w:rPr>
          <w:b/>
          <w:bCs/>
        </w:rPr>
        <w:t xml:space="preserve">Microsoft Visio round-trip</w:t>
      </w:r>
      <w:r>
        <w:t xml:space="preserve"> </w:t>
      </w:r>
      <w:r>
        <w:t xml:space="preserve">(VSDX export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re-import),</w:t>
      </w:r>
      <w:r>
        <w:t xml:space="preserve"> </w:t>
      </w:r>
      <w:r>
        <w:rPr>
          <w:b/>
          <w:bCs/>
        </w:rPr>
        <w:t xml:space="preserve">diagram health checking</w:t>
      </w:r>
      <w:r>
        <w:t xml:space="preserve">, and</w:t>
      </w:r>
      <w:r>
        <w:t xml:space="preserve"> </w:t>
      </w:r>
      <w:r>
        <w:rPr>
          <w:b/>
          <w:bCs/>
        </w:rPr>
        <w:t xml:space="preserve">automatic sub-process linking</w:t>
      </w:r>
      <w:r>
        <w:t xml:space="preserve"> </w:t>
      </w:r>
      <w:r>
        <w:t xml:space="preserve">— a self-service experience the enterprise suites don’t emphasise.</w:t>
      </w:r>
    </w:p>
    <w:p>
      <w:pPr>
        <w:pStyle w:val="FirstParagraph"/>
      </w:pPr>
      <w:r>
        <w:rPr>
          <w:b/>
          <w:bCs/>
        </w:rPr>
        <w:t xml:space="preserve">SAP Signavio</w:t>
      </w:r>
      <w:r>
        <w:t xml:space="preserve"> </w:t>
      </w:r>
      <w:r>
        <w:t xml:space="preserve">remains the strongest comparator for</w:t>
      </w:r>
      <w:r>
        <w:t xml:space="preserve"> </w:t>
      </w:r>
      <w:r>
        <w:rPr>
          <w:b/>
          <w:bCs/>
        </w:rPr>
        <w:t xml:space="preserve">enterprise process transformation</w:t>
      </w:r>
      <w:r>
        <w:t xml:space="preserve"> </w:t>
      </w:r>
      <w:r>
        <w:t xml:space="preserve">at SAP-aligned organisations: process repository, Collaboration Hub, governance/versioning,</w:t>
      </w:r>
      <w:r>
        <w:t xml:space="preserve"> </w:t>
      </w:r>
      <w:r>
        <w:rPr>
          <w:b/>
          <w:bCs/>
        </w:rPr>
        <w:t xml:space="preserve">Process Intelligence</w:t>
      </w:r>
      <w:r>
        <w:t xml:space="preserve"> </w:t>
      </w:r>
      <w:r>
        <w:t xml:space="preserve">mining with live system connectors, and</w:t>
      </w:r>
      <w:r>
        <w:t xml:space="preserve"> </w:t>
      </w:r>
      <w:r>
        <w:rPr>
          <w:b/>
          <w:bCs/>
        </w:rPr>
        <w:t xml:space="preserve">SAP-GRC-aligned</w:t>
      </w:r>
      <w:r>
        <w:t xml:space="preserve"> </w:t>
      </w:r>
      <w:r>
        <w:t xml:space="preserve">risk/control. It out-scales Diagramatix on repository governance, enterprise mining connectors and org-wide analytics — but is heavier, costlier, keeps mining and GRC in separate products, and isn’t a self-service multi-notation + Visio round-trip editor.</w:t>
      </w:r>
    </w:p>
    <w:p>
      <w:pPr>
        <w:pStyle w:val="BodyText"/>
      </w:pPr>
      <w:r>
        <w:rPr>
          <w:b/>
          <w:bCs/>
        </w:rPr>
        <w:t xml:space="preserve">ARIS</w:t>
      </w:r>
      <w:r>
        <w:t xml:space="preserve"> </w:t>
      </w:r>
      <w:r>
        <w:t xml:space="preserve">is still the</w:t>
      </w:r>
      <w:r>
        <w:t xml:space="preserve"> </w:t>
      </w:r>
      <w:r>
        <w:rPr>
          <w:b/>
          <w:bCs/>
        </w:rPr>
        <w:t xml:space="preserve">deepest enterprise-architecture platform</w:t>
      </w:r>
      <w:r>
        <w:t xml:space="preserve">: large-scale architecture, repository governance, multi-method modelling, process mining/intelligence, simulation, and a dedicated</w:t>
      </w:r>
      <w:r>
        <w:t xml:space="preserve"> </w:t>
      </w:r>
      <w:r>
        <w:rPr>
          <w:b/>
          <w:bCs/>
        </w:rPr>
        <w:t xml:space="preserve">Risk &amp; Compliance Manager (ARCM)</w:t>
      </w:r>
      <w:r>
        <w:t xml:space="preserve">. It leads Diagramatix on enterprise scale, governance discipline and formal GRC depth; Diagramatix leads on self-service, AI/image/voice generation, Visio round-trip, the integrated mining-to-twin loop, and control-effectiveness proven directly from mined data.</w:t>
      </w:r>
    </w:p>
    <w:p>
      <w:pPr>
        <w:pStyle w:val="BodyText"/>
      </w:pPr>
      <w:r>
        <w:rPr>
          <w:b/>
          <w:bCs/>
        </w:rPr>
        <w:t xml:space="preserve">PRIME BPM</w:t>
      </w:r>
      <w:r>
        <w:t xml:space="preserve"> </w:t>
      </w:r>
      <w:r>
        <w:t xml:space="preserve">stays closest to Diagramatix in the</w:t>
      </w:r>
      <w:r>
        <w:t xml:space="preserve"> </w:t>
      </w:r>
      <w:r>
        <w:rPr>
          <w:b/>
          <w:bCs/>
        </w:rPr>
        <w:t xml:space="preserve">business-user improvement segment</w:t>
      </w:r>
      <w:r>
        <w:t xml:space="preserve"> </w:t>
      </w:r>
      <w:r>
        <w:t xml:space="preserve">(BPMN mapping, APQC libraries, RACI, value/time/cost analysis, approvals). Diagramatix now clearly leads it on</w:t>
      </w:r>
      <w:r>
        <w:t xml:space="preserve"> </w:t>
      </w:r>
      <w:r>
        <w:rPr>
          <w:b/>
          <w:bCs/>
        </w:rPr>
        <w:t xml:space="preserve">process mining, conformance, digital-twin simulation, risk/control + RCM, multi-notation breadth and Visio round-trip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For an organisation that wants to</w:t>
      </w:r>
      <w:r>
        <w:t xml:space="preserve"> </w:t>
      </w:r>
      <w:r>
        <w:rPr>
          <w:i/>
          <w:iCs/>
        </w:rPr>
        <w:t xml:space="preserve">model, publish, mine, govern and simulate its processes as one workflow</w:t>
      </w:r>
      <w:r>
        <w:t xml:space="preserve"> </w:t>
      </w:r>
      <w:r>
        <w:t xml:space="preserve">— without an enterprise budget or a multi-tool stack — Diagramatix is now uniquely complete, and the</w:t>
      </w:r>
      <w:r>
        <w:t xml:space="preserve"> </w:t>
      </w:r>
      <w:r>
        <w:rPr>
          <w:b/>
          <w:bCs/>
        </w:rPr>
        <w:t xml:space="preserve">mining-driven control effectiveness</w:t>
      </w:r>
      <w:r>
        <w:t xml:space="preserve"> </w:t>
      </w:r>
      <w:r>
        <w:t xml:space="preserve">is something even Signavio/ARIS don’t offer on a single model. The remaining honest gaps versus Signavio/ARIS/Celonis are</w:t>
      </w:r>
      <w:r>
        <w:t xml:space="preserve"> </w:t>
      </w:r>
      <w:r>
        <w:rPr>
          <w:b/>
          <w:bCs/>
        </w:rPr>
        <w:t xml:space="preserve">enterprise-scale mining connectors and org-wide analytics dashboards, and deep repository governance</w:t>
      </w:r>
      <w:r>
        <w:t xml:space="preserve"> </w:t>
      </w:r>
      <w:r>
        <w:t xml:space="preserve">— the things that matter most to very large, regulated transformation programmes.</w:t>
      </w:r>
    </w:p>
    <w:p>
      <w:r>
        <w:pict>
          <v:rect style="width:0;height:1.5pt" o:hralign="center" o:hrstd="t" o:hr="t"/>
        </w:pict>
      </w:r>
    </w:p>
    <w:bookmarkEnd w:id="13"/>
    <w:bookmarkStart w:id="14" w:name="high-level-positioning"/>
    <w:p>
      <w:pPr>
        <w:pStyle w:val="Heading2"/>
      </w:pPr>
      <w:r>
        <w:t xml:space="preserve">High-level positioning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Strongest fit</w:t>
            </w:r>
          </w:p>
        </w:tc>
        <w:tc>
          <w:tcPr/>
          <w:p>
            <w:pPr>
              <w:pStyle w:val="Compact"/>
            </w:pPr>
            <w:r>
              <w:t xml:space="preserve">Relative weakness vs Diagramatix (2026)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Full-loop SMB/mid-market: multi-notation + AI/image/voice generation, Visio round-trip, publish/review,</w:t>
            </w:r>
            <w:r>
              <w:t xml:space="preserve"> </w:t>
            </w:r>
            <w:r>
              <w:rPr>
                <w:b/>
                <w:bCs/>
              </w:rPr>
              <w:t xml:space="preserve">process mining + conformance + digital-twin simulation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&amp; control + Risk-Control Matrix with mining-proven control effectiveness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continuous org-wide compliance monitoring</w:t>
            </w:r>
            <w:r>
              <w:t xml:space="preserve">, health checking</w:t>
            </w:r>
          </w:p>
        </w:tc>
        <w:tc>
          <w:tcPr/>
          <w:p>
            <w:pPr>
              <w:pStyle w:val="Compact"/>
            </w:pPr>
            <w:r>
              <w:t xml:space="preserve">Enterprise-scale mining connectors &amp; general org-wide process-intelligence dashboards; deep repository governance at ARIS/Signavio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Enterprise BPM &amp; SAP-aligned transformation, repository, Collaboration Hub, Process Intelligence, SAP-GRC risk/control, governance, simulation</w:t>
            </w:r>
          </w:p>
        </w:tc>
        <w:tc>
          <w:tcPr/>
          <w:p>
            <w:pPr>
              <w:pStyle w:val="Compact"/>
            </w:pPr>
            <w:r>
              <w:t xml:space="preserve">Not a self-service multi-notation + Visio editor; no image/voice-to-diagram; mining + GRC are separate products, not one model; heavier &amp; costlier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Enterprise process architecture, governance, process mining/intelligence, simulation, Risk &amp; Compliance Manager</w:t>
            </w:r>
          </w:p>
        </w:tc>
        <w:tc>
          <w:tcPr/>
          <w:p>
            <w:pPr>
              <w:pStyle w:val="Compact"/>
            </w:pPr>
            <w:r>
              <w:t xml:space="preserve">Less lightweight/self-service; image/voice + Visio round-trip less clear; GRC + mining in separate modules; higher barrier to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  <w:tc>
          <w:tcPr/>
          <w:p>
            <w:pPr>
              <w:pStyle w:val="Compact"/>
            </w:pPr>
            <w:r>
              <w:t xml:space="preserve">Business-user BPM improvement, BPMN mapping, APQC library, RACI, analysis, approvals</w:t>
            </w:r>
          </w:p>
        </w:tc>
        <w:tc>
          <w:tcPr/>
          <w:p>
            <w:pPr>
              <w:pStyle w:val="Compact"/>
            </w:pPr>
            <w:r>
              <w:t xml:space="preserve">No comparable process mining/conformance, digital-twin simulation, or Risk-Control Matrix; narrower notation range; no Visio round-trip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capability-comparison-grouped"/>
    <w:p>
      <w:pPr>
        <w:pStyle w:val="Heading2"/>
      </w:pPr>
      <w:r>
        <w:t xml:space="preserve">Capability comparison (grouped)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area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Multi-notation modelling (BPMN, ArchiMate, UML, Value Chain, State Machine, Domain, Context)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(BPMN-centric + some)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(BPMN-centric)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text-to-diagram —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notations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(AI BPMN)</w:t>
            </w:r>
          </w:p>
        </w:tc>
        <w:tc>
          <w:tcPr/>
          <w:p>
            <w:pPr>
              <w:pStyle w:val="Compact"/>
            </w:pPr>
            <w:r>
              <w:t xml:space="preserve">Partial (AI Companion)</w:t>
            </w:r>
          </w:p>
        </w:tc>
        <w:tc>
          <w:tcPr/>
          <w:p>
            <w:pPr>
              <w:pStyle w:val="Compact"/>
            </w:pPr>
            <w:r>
              <w:t xml:space="preserve">Partial (AI mapping)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Image-to-diagram (sketch/screenshot → editable)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Partial (image → 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dictation → AI Generate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connector routing / BPMN-aware auto-connect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Visio round-trip (VSDX export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re-import)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(import/export)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2.0 XML import / Flowchart→BPMN translation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Cross-functional pools / lanes / sub-lanes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 health check &amp; connector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sub-process linking / drill-down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&amp; review lifecycle (versioned, re-review reminders)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(Collaboration Hub)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(publication)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Collaboration, comments &amp; sign-off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Governed naming from org/entity lists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(dictionary/glossary)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 objects)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discovery from event logs (→ BPMN)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(DiagramatixMINER)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(Process Intelligence)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(ARIS Mining)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 state-machine lifecycle mining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Conformance checking (token replay, fitness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Digital-twin calibration from the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(one-click, integrated)</w:t>
            </w:r>
          </w:p>
        </w:tc>
        <w:tc>
          <w:tcPr/>
          <w:p>
            <w:pPr>
              <w:pStyle w:val="Compact"/>
            </w:pPr>
            <w:r>
              <w:t xml:space="preserve">Partial (PI + separate sim)</w:t>
            </w:r>
          </w:p>
        </w:tc>
        <w:tc>
          <w:tcPr/>
          <w:p>
            <w:pPr>
              <w:pStyle w:val="Compact"/>
            </w:pPr>
            <w:r>
              <w:t xml:space="preserve">Partial (mining + separate sim)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Discrete-event / BPSim simulation, scenarios, Monte Carlo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Working-hours calendars in simulation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&amp; Control on the process model (attach to steps)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(SAP GRC)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(ARCM)</w:t>
            </w:r>
          </w:p>
        </w:tc>
        <w:tc>
          <w:tcPr/>
          <w:p>
            <w:pPr>
              <w:pStyle w:val="Compact"/>
            </w:pPr>
            <w:r>
              <w:t xml:space="preserve">Partial (RACI/notes)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Risk-Control Matrix (RCM) export + coverage / SoD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(GRC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(ARCM)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GRC traceability graph (risk ↔ control ↔ policy ↔ regulation ↔ KRI/KPI)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operating-effectiveness from mined conformance (on the model)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(distinctive, integrated)</w:t>
            </w:r>
          </w:p>
        </w:tc>
        <w:tc>
          <w:tcPr/>
          <w:p>
            <w:pPr>
              <w:pStyle w:val="Compact"/>
            </w:pPr>
            <w:r>
              <w:t xml:space="preserve">Partial (separate PI + GRC)</w:t>
            </w:r>
          </w:p>
        </w:tc>
        <w:tc>
          <w:tcPr/>
          <w:p>
            <w:pPr>
              <w:pStyle w:val="Compact"/>
            </w:pPr>
            <w:r>
              <w:t xml:space="preserve">Partial (separate mining + ARCM)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compliance monitoring — control effectiveness trended over time, org-wide across all projects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(distinctive, integrated)</w:t>
            </w:r>
          </w:p>
        </w:tc>
        <w:tc>
          <w:tcPr/>
          <w:p>
            <w:pPr>
              <w:pStyle w:val="Compact"/>
            </w:pPr>
            <w:r>
              <w:t xml:space="preserve">Partial (separate PI + GRC)</w:t>
            </w:r>
          </w:p>
        </w:tc>
        <w:tc>
          <w:tcPr/>
          <w:p>
            <w:pPr>
              <w:pStyle w:val="Compact"/>
            </w:pPr>
            <w:r>
              <w:t xml:space="preserve">Partial (separate mining + ARCM)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Org-wide risk/control numbering + SuperAdmin Org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Enterprise-scale mining connectors (live system extraction)</w:t>
            </w:r>
          </w:p>
        </w:tc>
        <w:tc>
          <w:tcPr/>
          <w:p>
            <w:pPr>
              <w:pStyle w:val="Compact"/>
            </w:pPr>
            <w:r>
              <w:t xml:space="preserve">Partial (CSV/event-log import)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Org-wide process-intelligence dashboards / KPIs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governance at enterprise scale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/ OneDrive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restore / portable account snapshot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Self-serve tiered subscriptions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 (enterprise sales)</w:t>
            </w:r>
          </w:p>
        </w:tc>
        <w:tc>
          <w:tcPr/>
          <w:p>
            <w:pPr>
              <w:pStyle w:val="Compact"/>
            </w:pPr>
            <w:r>
              <w:t xml:space="preserve">Not found (enterprise sales)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where-diagramatix-now-leads"/>
    <w:p>
      <w:pPr>
        <w:pStyle w:val="Heading2"/>
      </w:pPr>
      <w:r>
        <w:t xml:space="preserve">Where Diagramatix now leads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Mining-proven control effectiveness on one model.</w:t>
      </w:r>
      <w:r>
        <w:t xml:space="preserve"> </w:t>
      </w:r>
      <w:r>
        <w:t xml:space="preserve">Risks/controls sit on the same process the mining engine analyses, so the Risk-Control Matrix shows whether each control actually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(</w:t>
      </w:r>
      <w:r>
        <w:t xml:space="preserve">“bypassed in N of M cases”</w:t>
      </w:r>
      <w:r>
        <w:t xml:space="preserve">) — the enterprise suites keep GRC and process mining in separate products.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Continuous, org-wide compliance monitoring.</w:t>
      </w:r>
      <w:r>
        <w:t xml:space="preserve"> </w:t>
      </w:r>
      <w:r>
        <w:t xml:space="preserve">The Compliance Monitoring console trends each control’s operating-effectiveness</w:t>
      </w:r>
      <w:r>
        <w:t xml:space="preserve"> </w:t>
      </w:r>
      <w:r>
        <w:rPr>
          <w:i/>
          <w:iCs/>
        </w:rPr>
        <w:t xml:space="preserve">over time</w:t>
      </w:r>
      <w:r>
        <w:t xml:space="preserve"> </w:t>
      </w:r>
      <w:r>
        <w:t xml:space="preserve">across every project in the organisation, with declining-control and below-threshold alerts and a by-project posture view — governance as an ongoing monitor, not a one-off matrix. Enterprise suites provide this only by stitching a process-intelligence product to a separate GRC product.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integrated loop.</w:t>
      </w:r>
      <w:r>
        <w:t xml:space="preserve"> </w:t>
      </w:r>
      <w:r>
        <w:t xml:space="preserve">Mining output feeds a calibrated simulation twin in one click — discovery, conformance and simulation aren’t separate modules with separate effort.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Entity-lifecycle conformance.</w:t>
      </w:r>
      <w:r>
        <w:t xml:space="preserve"> </w:t>
      </w:r>
      <w:r>
        <w:t xml:space="preserve">State-machine discovery + replay against a reference lifecycle (legal states/transitions) is more precise than DFG-only conformance and rare at this tier.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 breadth + self-service economics.</w:t>
      </w:r>
      <w:r>
        <w:t xml:space="preserve"> </w:t>
      </w:r>
      <w:r>
        <w:t xml:space="preserve">Text, image and voice to diagram across every notation; Visio round-trip both directions; free tier + self-serve upgrade vs enterprise sales motions.</w:t>
      </w:r>
    </w:p>
    <w:bookmarkEnd w:id="16"/>
    <w:bookmarkStart w:id="17" w:name="Xc5c32f78889ee5584ab9078a5332f3e65567679"/>
    <w:p>
      <w:pPr>
        <w:pStyle w:val="Heading2"/>
      </w:pPr>
      <w:r>
        <w:t xml:space="preserve">Where Diagramatix still trails (honest gaps)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Enterprise mining at scale.</w:t>
      </w:r>
      <w:r>
        <w:t xml:space="preserve"> </w:t>
      </w:r>
      <w:r>
        <w:t xml:space="preserve">Diagramatix mines uploaded event logs; Celonis/Signavio PI/ARIS extract live from source systems (SAP, ServiceNow…) with pre-built connectors and org-wide dashboards.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 governance.</w:t>
      </w:r>
      <w:r>
        <w:t xml:space="preserve"> </w:t>
      </w:r>
      <w:r>
        <w:t xml:space="preserve">ARIS/Signavio offer deep repository objects, glossaries, lifecycle governance and enterprise access control beyond project sharing.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Org-wide analytics surface (general process intelligence).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specifically this is now covered — the Compliance Monitoring console trends control effectiveness org-wide across projects. A general</w:t>
      </w:r>
      <w:r>
        <w:t xml:space="preserve"> </w:t>
      </w:r>
      <w:r>
        <w:rPr>
          <w:b/>
          <w:bCs/>
        </w:rPr>
        <w:t xml:space="preserve">process-intelligence KPI dashboard</w:t>
      </w:r>
      <w:r>
        <w:t xml:space="preserve"> </w:t>
      </w:r>
      <w:r>
        <w:t xml:space="preserve">(throughput, cycle-time and cost analytics across the whole organisation, live) is still not present.</w:t>
      </w:r>
    </w:p>
    <w:p>
      <w:pPr>
        <w:pStyle w:val="FirstParagraph"/>
      </w:pPr>
      <w:r>
        <w:rPr>
          <w:i/>
          <w:iCs/>
        </w:rPr>
        <w:t xml:space="preserve">(Risk/compliance is no longer a gap — see the GRC rows above; org-wide compliance trending is now shipped.)</w:t>
      </w:r>
    </w:p>
    <w:p>
      <w:r>
        <w:pict>
          <v:rect style="width:0;height:1.5pt" o:hralign="center" o:hrstd="t" o:hr="t"/>
        </w:pict>
      </w:r>
    </w:p>
    <w:bookmarkEnd w:id="17"/>
    <w:bookmarkStart w:id="18" w:name="recommended-positioning-statements"/>
    <w:p>
      <w:pPr>
        <w:pStyle w:val="Heading2"/>
      </w:pPr>
      <w:r>
        <w:t xml:space="preserve">Recommended positioning statements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vs Signavio/ARIS:</w:t>
      </w:r>
      <w:r>
        <w:t xml:space="preserve"> </w:t>
      </w:r>
      <w:r>
        <w:t xml:space="preserve">“The full model-to-mine-to-govern-to-simulate loop, self-service, without the enterprise stack or the enterprise bill — with control effectiveness proven from your own event data on the same model, and monitored organisation-wide over time.”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vs Celonis:</w:t>
      </w:r>
      <w:r>
        <w:t xml:space="preserve"> </w:t>
      </w:r>
      <w:r>
        <w:t xml:space="preserve">“Bring your event log; get discovery, conformance, a runnable digital twin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Risk-Control Matrix that shows which controls were bypassed — not just a dashboard.”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vs PRIME BPM:</w:t>
      </w:r>
      <w:r>
        <w:t xml:space="preserve"> </w:t>
      </w:r>
      <w:r>
        <w:t xml:space="preserve">“Everything PRIME does for BPMN improvement, plus real process mining, conformance, digital-twin simulation and a data-proven Risk-Control Matrix.”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 compliance:</w:t>
      </w:r>
      <w:r>
        <w:t xml:space="preserve"> </w:t>
      </w:r>
      <w:r>
        <w:t xml:space="preserve">“Not just a Risk-Control Matrix — a live compliance monitor that trends whether your controls keep operating, organisation-wide, from your own event data, and flags the ones sliding below threshold.”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Assessments reflect public product material as of 7 July 2026 and the current Diagramatix feature catalogue.</w:t>
      </w:r>
      <w:r>
        <w:rPr>
          <w:i/>
          <w:iCs/>
        </w:rPr>
        <w:t xml:space="preserve"> </w:t>
      </w:r>
      <w:r>
        <w:rPr>
          <w:i/>
          <w:iCs/>
        </w:rPr>
        <w:t xml:space="preserve">“Not found”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no confirmed public evidence, not proven absence. Competitor GRC / process-intelligence cells (SAP GRC + Signavio PI / ARIS ARCM + ARIS Mining) reflect documented enterprise modules and warrant a human verification pass before external use.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2026-07-07T10:34:44Z</dcterms:created>
  <dcterms:modified xsi:type="dcterms:W3CDTF">2026-07-07T10:34:44Z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