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b/>
          <w:bCs/>
          <w:caps/>
          <w:color w:val="00A7FF"/>
          <w:sz w:val="16"/>
          <w:szCs w:val="16"/>
        </w:rPr>
        <w:t xml:space="preserve">PATTERN PXM / VALUE MODEL V1</w:t>
      </w:r>
    </w:p>
    <w:p>
      <w:pPr>
        <w:pStyle w:val="Heading1"/>
        <w:spacing w:after="160" w:before="120"/>
      </w:pPr>
      <w:r>
        <w:rPr>
          <w:b/>
          <w:bCs/>
          <w:color w:val="0A0F1E"/>
          <w:sz w:val="52"/>
          <w:szCs w:val="52"/>
        </w:rPr>
        <w:t xml:space="preserve">PXM ROI Calculator
Section-by-Section Brief</w:t>
      </w:r>
    </w:p>
    <w:p>
      <w:pPr>
        <w:spacing w:after="120" w:before="0"/>
      </w:pPr>
      <w:r>
        <w:rPr>
          <w:color w:val="4B5563"/>
          <w:sz w:val="20"/>
          <w:szCs w:val="20"/>
        </w:rPr>
        <w:t xml:space="preserve">A practical reference for sales conversations — covering all five value sections, the math behind each, and how to speak to conservative, expected, and upside scenarios without overclaiming.</w:t>
      </w:r>
    </w:p>
    <w:p>
      <w:pPr>
        <w:spacing w:after="0" w:before="120"/>
      </w:pPr>
    </w:p>
    <w:p>
      <w:pPr>
        <w:spacing w:after="80" w:before="200"/>
      </w:pPr>
      <w:r>
        <w:rPr>
          <w:b/>
          <w:bCs/>
          <w:color w:val="00A7FF"/>
          <w:sz w:val="22"/>
          <w:szCs w:val="22"/>
        </w:rPr>
        <w:t xml:space="preserve">Scenario Overview — Applies to Sections 01–03 and 05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shd w:color="111827" w:val="solid"/>
            <w:tcMar>
              <w:top w:type="dxa" w:w="80"/>
              <w:left w:type="dxa" w:w="120"/>
              <w:bottom w:type="dxa" w:w="80"/>
              <w:right w:type="dxa" w:w="120"/>
            </w:tcMar>
          </w:tcPr>
          <w:p>
            <w:r>
              <w:rPr>
                <w:b/>
                <w:bCs/>
                <w:color w:val="FFFFFF"/>
                <w:sz w:val="18"/>
                <w:szCs w:val="18"/>
              </w:rPr>
              <w:t xml:space="preserve">Scenario</w:t>
            </w:r>
          </w:p>
        </w:tc>
        <w:tc>
          <w:tcPr>
            <w:tcW w:type="pct" w:w="12%"/>
            <w:shd w:color="111827" w:val="solid"/>
            <w:tcMar>
              <w:top w:type="dxa" w:w="80"/>
              <w:left w:type="dxa" w:w="120"/>
              <w:bottom w:type="dxa" w:w="80"/>
              <w:right w:type="dxa" w:w="120"/>
            </w:tcMar>
          </w:tcPr>
          <w:p>
            <w:r>
              <w:rPr>
                <w:b/>
                <w:bCs/>
                <w:color w:val="FFFFFF"/>
                <w:sz w:val="18"/>
                <w:szCs w:val="18"/>
              </w:rPr>
              <w:t xml:space="preserve">Factor</w:t>
            </w:r>
          </w:p>
        </w:tc>
        <w:tc>
          <w:tcPr>
            <w:tcW w:type="pct" w:w="40%"/>
            <w:shd w:color="111827" w:val="solid"/>
            <w:tcMar>
              <w:top w:type="dxa" w:w="80"/>
              <w:left w:type="dxa" w:w="120"/>
              <w:bottom w:type="dxa" w:w="80"/>
              <w:right w:type="dxa" w:w="120"/>
            </w:tcMar>
          </w:tcPr>
          <w:p>
            <w:r>
              <w:rPr>
                <w:b/>
                <w:bCs/>
                <w:color w:val="FFFFFF"/>
                <w:sz w:val="18"/>
                <w:szCs w:val="18"/>
              </w:rPr>
              <w:t xml:space="preserve">What It Means</w:t>
            </w:r>
          </w:p>
        </w:tc>
        <w:tc>
          <w:tcPr>
            <w:tcW w:type="pct" w:w="33%"/>
            <w:shd w:color="111827" w:val="solid"/>
            <w:tcMar>
              <w:top w:type="dxa" w:w="80"/>
              <w:left w:type="dxa" w:w="120"/>
              <w:bottom w:type="dxa" w:w="80"/>
              <w:right w:type="dxa" w:w="120"/>
            </w:tcMar>
          </w:tcPr>
          <w:p>
            <w:r>
              <w:rPr>
                <w:b/>
                <w:bCs/>
                <w:color w:val="FFFFFF"/>
                <w:sz w:val="18"/>
                <w:szCs w:val="18"/>
              </w:rPr>
              <w:t xml:space="preserve">When to Use</w:t>
            </w:r>
          </w:p>
        </w:tc>
      </w:tr>
      <w:tr>
        <w:tc>
          <w:tcPr>
            <w:tcW w:type="pct" w:w="15%"/>
            <w:shd w:color="F9FAFB" w:val="solid"/>
            <w:tcMar>
              <w:top w:type="dxa" w:w="80"/>
              <w:left w:type="dxa" w:w="120"/>
              <w:bottom w:type="dxa" w:w="80"/>
              <w:right w:type="dxa" w:w="120"/>
            </w:tcMar>
          </w:tcPr>
          <w:p>
            <w:r>
              <w:rPr>
                <w:b/>
                <w:bCs/>
                <w:color w:val="0A0F1E"/>
                <w:sz w:val="18"/>
                <w:szCs w:val="18"/>
              </w:rPr>
              <w:t xml:space="preserve">Conservative</w:t>
            </w:r>
          </w:p>
        </w:tc>
        <w:tc>
          <w:tcPr>
            <w:tcW w:type="pct" w:w="12%"/>
            <w:shd w:color="F9FAFB" w:val="solid"/>
            <w:tcMar>
              <w:top w:type="dxa" w:w="80"/>
              <w:left w:type="dxa" w:w="120"/>
              <w:bottom w:type="dxa" w:w="80"/>
              <w:right w:type="dxa" w:w="120"/>
            </w:tcMar>
          </w:tcPr>
          <w:p>
            <w:r>
              <w:rPr>
                <w:b w:val="false"/>
                <w:bCs w:val="false"/>
                <w:color w:val="374151"/>
                <w:sz w:val="18"/>
                <w:szCs w:val="18"/>
              </w:rPr>
              <w:t xml:space="preserve">× 0.7  (70%)</w:t>
            </w:r>
          </w:p>
        </w:tc>
        <w:tc>
          <w:tcPr>
            <w:tcW w:type="pct" w:w="40%"/>
            <w:shd w:color="F9FAFB" w:val="solid"/>
            <w:tcMar>
              <w:top w:type="dxa" w:w="80"/>
              <w:left w:type="dxa" w:w="120"/>
              <w:bottom w:type="dxa" w:w="80"/>
              <w:right w:type="dxa" w:w="120"/>
            </w:tcMar>
          </w:tcPr>
          <w:p>
            <w:r>
              <w:rPr>
                <w:b w:val="false"/>
                <w:bCs w:val="false"/>
                <w:color w:val="374151"/>
                <w:sz w:val="18"/>
                <w:szCs w:val="18"/>
              </w:rPr>
              <w:t xml:space="preserve">Assumes real-world adoption is never perfect — slower rollout, partial migration, cautious teams.</w:t>
            </w:r>
          </w:p>
        </w:tc>
        <w:tc>
          <w:tcPr>
            <w:tcW w:type="pct" w:w="33%"/>
            <w:shd w:color="F9FAFB" w:val="solid"/>
            <w:tcMar>
              <w:top w:type="dxa" w:w="80"/>
              <w:left w:type="dxa" w:w="120"/>
              <w:bottom w:type="dxa" w:w="80"/>
              <w:right w:type="dxa" w:w="120"/>
            </w:tcMar>
          </w:tcPr>
          <w:p>
            <w:r>
              <w:rPr>
                <w:b w:val="false"/>
                <w:bCs w:val="false"/>
                <w:color w:val="374151"/>
                <w:sz w:val="18"/>
                <w:szCs w:val="18"/>
              </w:rPr>
              <w:t xml:space="preserve">Budget reviews, procurement conversations, uncertain inputs.</w:t>
            </w:r>
          </w:p>
        </w:tc>
      </w:tr>
      <w:tr>
        <w:tc>
          <w:tcPr>
            <w:tcW w:type="pct" w:w="15%"/>
            <w:shd w:color="FFFFFF" w:val="solid"/>
            <w:tcMar>
              <w:top w:type="dxa" w:w="80"/>
              <w:left w:type="dxa" w:w="120"/>
              <w:bottom w:type="dxa" w:w="80"/>
              <w:right w:type="dxa" w:w="120"/>
            </w:tcMar>
          </w:tcPr>
          <w:p>
            <w:r>
              <w:rPr>
                <w:b/>
                <w:bCs/>
                <w:color w:val="0A0F1E"/>
                <w:sz w:val="18"/>
                <w:szCs w:val="18"/>
              </w:rPr>
              <w:t xml:space="preserve">Expected</w:t>
            </w:r>
          </w:p>
        </w:tc>
        <w:tc>
          <w:tcPr>
            <w:tcW w:type="pct" w:w="12%"/>
            <w:shd w:color="FFFFFF" w:val="solid"/>
            <w:tcMar>
              <w:top w:type="dxa" w:w="80"/>
              <w:left w:type="dxa" w:w="120"/>
              <w:bottom w:type="dxa" w:w="80"/>
              <w:right w:type="dxa" w:w="120"/>
            </w:tcMar>
          </w:tcPr>
          <w:p>
            <w:r>
              <w:rPr>
                <w:b w:val="false"/>
                <w:bCs w:val="false"/>
                <w:color w:val="374151"/>
                <w:sz w:val="18"/>
                <w:szCs w:val="18"/>
              </w:rPr>
              <w:t xml:space="preserve">× 1.0  (100%)</w:t>
            </w:r>
          </w:p>
        </w:tc>
        <w:tc>
          <w:tcPr>
            <w:tcW w:type="pct" w:w="40%"/>
            <w:shd w:color="FFFFFF" w:val="solid"/>
            <w:tcMar>
              <w:top w:type="dxa" w:w="80"/>
              <w:left w:type="dxa" w:w="120"/>
              <w:bottom w:type="dxa" w:w="80"/>
              <w:right w:type="dxa" w:w="120"/>
            </w:tcMar>
          </w:tcPr>
          <w:p>
            <w:r>
              <w:rPr>
                <w:b w:val="false"/>
                <w:bCs w:val="false"/>
                <w:color w:val="374151"/>
                <w:sz w:val="18"/>
                <w:szCs w:val="18"/>
              </w:rPr>
              <w:t xml:space="preserve">Full modeled value. Takes inputs at face value. The primary view.</w:t>
            </w:r>
          </w:p>
        </w:tc>
        <w:tc>
          <w:tcPr>
            <w:tcW w:type="pct" w:w="33%"/>
            <w:shd w:color="FFFFFF" w:val="solid"/>
            <w:tcMar>
              <w:top w:type="dxa" w:w="80"/>
              <w:left w:type="dxa" w:w="120"/>
              <w:bottom w:type="dxa" w:w="80"/>
              <w:right w:type="dxa" w:w="120"/>
            </w:tcMar>
          </w:tcPr>
          <w:p>
            <w:r>
              <w:rPr>
                <w:b w:val="false"/>
                <w:bCs w:val="false"/>
                <w:color w:val="374151"/>
                <w:sz w:val="18"/>
                <w:szCs w:val="18"/>
              </w:rPr>
              <w:t xml:space="preserve">Standard presentation when inputs are agreed and grounded.</w:t>
            </w:r>
          </w:p>
        </w:tc>
      </w:tr>
      <w:tr>
        <w:tc>
          <w:tcPr>
            <w:tcW w:type="pct" w:w="15%"/>
            <w:shd w:color="F9FAFB" w:val="solid"/>
            <w:tcMar>
              <w:top w:type="dxa" w:w="80"/>
              <w:left w:type="dxa" w:w="120"/>
              <w:bottom w:type="dxa" w:w="80"/>
              <w:right w:type="dxa" w:w="120"/>
            </w:tcMar>
          </w:tcPr>
          <w:p>
            <w:r>
              <w:rPr>
                <w:b/>
                <w:bCs/>
                <w:color w:val="0A0F1E"/>
                <w:sz w:val="18"/>
                <w:szCs w:val="18"/>
              </w:rPr>
              <w:t xml:space="preserve">Upside</w:t>
            </w:r>
          </w:p>
        </w:tc>
        <w:tc>
          <w:tcPr>
            <w:tcW w:type="pct" w:w="12%"/>
            <w:shd w:color="F9FAFB" w:val="solid"/>
            <w:tcMar>
              <w:top w:type="dxa" w:w="80"/>
              <w:left w:type="dxa" w:w="120"/>
              <w:bottom w:type="dxa" w:w="80"/>
              <w:right w:type="dxa" w:w="120"/>
            </w:tcMar>
          </w:tcPr>
          <w:p>
            <w:r>
              <w:rPr>
                <w:b w:val="false"/>
                <w:bCs w:val="false"/>
                <w:color w:val="374151"/>
                <w:sz w:val="18"/>
                <w:szCs w:val="18"/>
              </w:rPr>
              <w:t xml:space="preserve">× 1.3  (130%)</w:t>
            </w:r>
          </w:p>
        </w:tc>
        <w:tc>
          <w:tcPr>
            <w:tcW w:type="pct" w:w="40%"/>
            <w:shd w:color="F9FAFB" w:val="solid"/>
            <w:tcMar>
              <w:top w:type="dxa" w:w="80"/>
              <w:left w:type="dxa" w:w="120"/>
              <w:bottom w:type="dxa" w:w="80"/>
              <w:right w:type="dxa" w:w="120"/>
            </w:tcMar>
          </w:tcPr>
          <w:p>
            <w:r>
              <w:rPr>
                <w:b w:val="false"/>
                <w:bCs w:val="false"/>
                <w:color w:val="374151"/>
                <w:sz w:val="18"/>
                <w:szCs w:val="18"/>
              </w:rPr>
              <w:t xml:space="preserve">Models faster adoption, broader scope, or conservative inputs. Shows ceiling potential.</w:t>
            </w:r>
          </w:p>
        </w:tc>
        <w:tc>
          <w:tcPr>
            <w:tcW w:type="pct" w:w="33%"/>
            <w:shd w:color="F9FAFB" w:val="solid"/>
            <w:tcMar>
              <w:top w:type="dxa" w:w="80"/>
              <w:left w:type="dxa" w:w="120"/>
              <w:bottom w:type="dxa" w:w="80"/>
              <w:right w:type="dxa" w:w="120"/>
            </w:tcMar>
          </w:tcPr>
          <w:p>
            <w:r>
              <w:rPr>
                <w:b w:val="false"/>
                <w:bCs w:val="false"/>
                <w:color w:val="374151"/>
                <w:sz w:val="18"/>
                <w:szCs w:val="18"/>
              </w:rPr>
              <w:t xml:space="preserve">Expansion conversations. Never present alone — anchor to Expected first.</w:t>
            </w:r>
          </w:p>
        </w:tc>
      </w:tr>
    </w:tbl>
    <w:p>
      <w:pPr>
        <w:spacing w:after="0" w:before="120"/>
      </w:pPr>
    </w:p>
    <w:p>
      <w:pPr>
        <w:pBdr>
          <w:left w:val="thick" w:color="F59E0B" w:sz="12"/>
        </w:pBdr>
        <w:shd w:color="FFF8E1" w:val="solid"/>
        <w:spacing w:after="0" w:before="160"/>
        <w:ind w:left="200"/>
      </w:pPr>
      <w:r>
        <w:rPr>
          <w:b/>
          <w:bCs/>
          <w:color w:val="0A0F1E"/>
          <w:sz w:val="18"/>
          <w:szCs w:val="18"/>
        </w:rPr>
        <w:t xml:space="preserve">Important:  </w:t>
      </w:r>
    </w:p>
    <w:p>
      <w:pPr>
        <w:pBdr>
          <w:left w:val="thick" w:color="F59E0B" w:sz="12"/>
        </w:pBdr>
        <w:shd w:color="FFF8E1" w:val="solid"/>
        <w:spacing w:after="160" w:before="0"/>
        <w:ind w:left="200"/>
      </w:pPr>
      <w:r>
        <w:rPr>
          <w:color w:val="1F2937"/>
          <w:sz w:val="18"/>
          <w:szCs w:val="18"/>
        </w:rPr>
        <w:t xml:space="preserve">The scenario factor applies to ALL labor-based benefits (Sections 01–03 and 05). Section 04 — Tool Consolidation — is never scenario-adjusted. It is a direct cost displacement, not an estimate.</w:t>
      </w:r>
    </w:p>
    <w:p>
      <w:r>
        <w:br w:type="page"/>
      </w:r>
    </w:p>
    <w:p>
      <w:pPr>
        <w:spacing w:after="60" w:before="240"/>
      </w:pPr>
      <w:r>
        <w:rPr>
          <w:b/>
          <w:bCs/>
          <w:caps/>
          <w:color w:val="00A7FF"/>
          <w:sz w:val="16"/>
          <w:szCs w:val="16"/>
        </w:rPr>
        <w:t xml:space="preserve">Section 01</w:t>
      </w:r>
    </w:p>
    <w:p>
      <w:pPr>
        <w:pStyle w:val="Heading2"/>
        <w:spacing w:after="100" w:before="280"/>
      </w:pPr>
      <w:r>
        <w:rPr>
          <w:b/>
          <w:bCs/>
          <w:color w:val="00A7FF"/>
          <w:sz w:val="32"/>
          <w:szCs w:val="32"/>
        </w:rPr>
        <w:t xml:space="preserve">Pattern Creative Services</w:t>
      </w:r>
    </w:p>
    <w:p>
      <w:pPr>
        <w:spacing w:after="120" w:before="0"/>
      </w:pPr>
      <w:r>
        <w:rPr>
          <w:color w:val="69758A"/>
          <w:sz w:val="20"/>
          <w:szCs w:val="20"/>
        </w:rPr>
        <w:t xml:space="preserve">Optional. Only relevant if Pattern is delivering creative production for this brand.</w:t>
      </w:r>
    </w:p>
    <w:p>
      <w:pPr>
        <w:spacing w:after="80" w:before="200"/>
      </w:pPr>
      <w:r>
        <w:rPr>
          <w:b/>
          <w:bCs/>
          <w:color w:val="00A7FF"/>
          <w:sz w:val="22"/>
          <w:szCs w:val="22"/>
        </w:rPr>
        <w:t xml:space="preserve">What It Is</w:t>
      </w:r>
    </w:p>
    <w:p>
      <w:pPr>
        <w:spacing w:after="120" w:before="0"/>
      </w:pPr>
      <w:r>
        <w:rPr>
          <w:color w:val="1F2937"/>
          <w:sz w:val="20"/>
          <w:szCs w:val="20"/>
        </w:rPr>
        <w:t xml:space="preserve">Pattern's creative team produces Amazon content — image stacks, A+ pages, brand store, AI-generated images. This is Pattern's services layer, not the PXM platform itself. It should be included only when Pattern is doing the creative work.</w:t>
      </w:r>
    </w:p>
    <w:p>
      <w:pPr>
        <w:spacing w:after="80" w:before="200"/>
      </w:pPr>
      <w:r>
        <w:rPr>
          <w:b/>
          <w:bCs/>
          <w:color w:val="00A7FF"/>
          <w:sz w:val="22"/>
          <w:szCs w:val="22"/>
        </w:rPr>
        <w:t xml:space="preserve">Why You Bring It In</w:t>
      </w:r>
    </w:p>
    <w:p>
      <w:pPr>
        <w:spacing w:after="120" w:before="0"/>
      </w:pPr>
      <w:r>
        <w:rPr>
          <w:color w:val="1F2937"/>
          <w:sz w:val="20"/>
          <w:szCs w:val="20"/>
        </w:rPr>
        <w:t xml:space="preserve">If the brand currently pays an agency, uses freelancers, or has an in-house design team for Amazon content, Pattern can do the same work at a known, transparent rate. The calculator shows exactly what Pattern charges, built from actual task times and role rates — not estimates.</w:t>
      </w:r>
    </w:p>
    <w:p>
      <w:pPr>
        <w:spacing w:after="80" w:before="200"/>
      </w:pPr>
      <w:r>
        <w:rPr>
          <w:b/>
          <w:bCs/>
          <w:color w:val="00A7FF"/>
          <w:sz w:val="22"/>
          <w:szCs w:val="22"/>
        </w:rPr>
        <w:t xml:space="preserve">Fields &amp; What to 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color="111827" w:val="solid"/>
            <w:tcMar>
              <w:top w:type="dxa" w:w="80"/>
              <w:left w:type="dxa" w:w="120"/>
              <w:bottom w:type="dxa" w:w="80"/>
              <w:right w:type="dxa" w:w="120"/>
            </w:tcMar>
          </w:tcPr>
          <w:p>
            <w:r>
              <w:rPr>
                <w:b/>
                <w:bCs/>
                <w:color w:val="FFFFFF"/>
                <w:sz w:val="18"/>
                <w:szCs w:val="18"/>
              </w:rPr>
              <w:t xml:space="preserve">Field</w:t>
            </w:r>
          </w:p>
        </w:tc>
        <w:tc>
          <w:tcPr>
            <w:tcW w:type="pct" w:w="44%"/>
            <w:shd w:color="111827" w:val="solid"/>
            <w:tcMar>
              <w:top w:type="dxa" w:w="80"/>
              <w:left w:type="dxa" w:w="120"/>
              <w:bottom w:type="dxa" w:w="80"/>
              <w:right w:type="dxa" w:w="120"/>
            </w:tcMar>
          </w:tcPr>
          <w:p>
            <w:r>
              <w:rPr>
                <w:b/>
                <w:bCs/>
                <w:color w:val="FFFFFF"/>
                <w:sz w:val="18"/>
                <w:szCs w:val="18"/>
              </w:rPr>
              <w:t xml:space="preserve">Plain-English Question to Ask</w:t>
            </w:r>
          </w:p>
        </w:tc>
        <w:tc>
          <w:tcPr>
            <w:tcW w:type="pct" w:w="34%"/>
            <w:shd w:color="111827" w:val="solid"/>
            <w:tcMar>
              <w:top w:type="dxa" w:w="80"/>
              <w:left w:type="dxa" w:w="120"/>
              <w:bottom w:type="dxa" w:w="80"/>
              <w:right w:type="dxa" w:w="120"/>
            </w:tcMar>
          </w:tcPr>
          <w:p>
            <w:r>
              <w:rPr>
                <w:b/>
                <w:bCs/>
                <w:color w:val="FFFFFF"/>
                <w:sz w:val="18"/>
                <w:szCs w:val="18"/>
              </w:rPr>
              <w:t xml:space="preserve">Typical Answer</w:t>
            </w:r>
          </w:p>
        </w:tc>
      </w:tr>
      <w:tr>
        <w:tc>
          <w:tcPr>
            <w:tcW w:type="pct" w:w="22%"/>
            <w:shd w:color="F9FAFB" w:val="solid"/>
            <w:tcMar>
              <w:top w:type="dxa" w:w="80"/>
              <w:left w:type="dxa" w:w="120"/>
              <w:bottom w:type="dxa" w:w="80"/>
              <w:right w:type="dxa" w:w="120"/>
            </w:tcMar>
          </w:tcPr>
          <w:p>
            <w:r>
              <w:rPr>
                <w:b/>
                <w:bCs/>
                <w:color w:val="0A0F1E"/>
                <w:sz w:val="18"/>
                <w:szCs w:val="18"/>
              </w:rPr>
              <w:t xml:space="preserve">Current annual creative spend</w:t>
            </w:r>
          </w:p>
        </w:tc>
        <w:tc>
          <w:tcPr>
            <w:tcW w:type="pct" w:w="44%"/>
            <w:shd w:color="F9FAFB" w:val="solid"/>
            <w:tcMar>
              <w:top w:type="dxa" w:w="80"/>
              <w:left w:type="dxa" w:w="120"/>
              <w:bottom w:type="dxa" w:w="80"/>
              <w:right w:type="dxa" w:w="120"/>
            </w:tcMar>
          </w:tcPr>
          <w:p>
            <w:r>
              <w:rPr>
                <w:b w:val="false"/>
                <w:bCs w:val="false"/>
                <w:color w:val="374151"/>
                <w:sz w:val="18"/>
                <w:szCs w:val="18"/>
              </w:rPr>
              <w:t xml:space="preserve">What do you pay annually for Amazon content — agency fees, freelancers, or in-house design time?</w:t>
            </w:r>
          </w:p>
        </w:tc>
        <w:tc>
          <w:tcPr>
            <w:tcW w:type="pct" w:w="34%"/>
            <w:shd w:color="F9FAFB" w:val="solid"/>
            <w:tcMar>
              <w:top w:type="dxa" w:w="80"/>
              <w:left w:type="dxa" w:w="120"/>
              <w:bottom w:type="dxa" w:w="80"/>
              <w:right w:type="dxa" w:w="120"/>
            </w:tcMar>
          </w:tcPr>
          <w:p>
            <w:r>
              <w:rPr>
                <w:b w:val="false"/>
                <w:bCs w:val="false"/>
                <w:color w:val="374151"/>
                <w:sz w:val="18"/>
                <w:szCs w:val="18"/>
              </w:rPr>
              <w:t xml:space="preserve">$0 if in-house; $20K–$200K+ if agency</w:t>
            </w:r>
          </w:p>
        </w:tc>
      </w:tr>
      <w:tr>
        <w:tc>
          <w:tcPr>
            <w:tcW w:type="pct" w:w="22%"/>
            <w:shd w:color="FFFFFF" w:val="solid"/>
            <w:tcMar>
              <w:top w:type="dxa" w:w="80"/>
              <w:left w:type="dxa" w:w="120"/>
              <w:bottom w:type="dxa" w:w="80"/>
              <w:right w:type="dxa" w:w="120"/>
            </w:tcMar>
          </w:tcPr>
          <w:p>
            <w:r>
              <w:rPr>
                <w:b/>
                <w:bCs/>
                <w:color w:val="0A0F1E"/>
                <w:sz w:val="18"/>
                <w:szCs w:val="18"/>
              </w:rPr>
              <w:t xml:space="preserve">Products per project</w:t>
            </w:r>
          </w:p>
        </w:tc>
        <w:tc>
          <w:tcPr>
            <w:tcW w:type="pct" w:w="44%"/>
            <w:shd w:color="FFFFFF" w:val="solid"/>
            <w:tcMar>
              <w:top w:type="dxa" w:w="80"/>
              <w:left w:type="dxa" w:w="120"/>
              <w:bottom w:type="dxa" w:w="80"/>
              <w:right w:type="dxa" w:w="120"/>
            </w:tcMar>
          </w:tcPr>
          <w:p>
            <w:r>
              <w:rPr>
                <w:b w:val="false"/>
                <w:bCs w:val="false"/>
                <w:color w:val="374151"/>
                <w:sz w:val="18"/>
                <w:szCs w:val="18"/>
              </w:rPr>
              <w:t xml:space="preserve">How many products are in one creative engagement?</w:t>
            </w:r>
          </w:p>
        </w:tc>
        <w:tc>
          <w:tcPr>
            <w:tcW w:type="pct" w:w="34%"/>
            <w:shd w:color="FFFFFF" w:val="solid"/>
            <w:tcMar>
              <w:top w:type="dxa" w:w="80"/>
              <w:left w:type="dxa" w:w="120"/>
              <w:bottom w:type="dxa" w:w="80"/>
              <w:right w:type="dxa" w:w="120"/>
            </w:tcMar>
          </w:tcPr>
          <w:p>
            <w:r>
              <w:rPr>
                <w:b w:val="false"/>
                <w:bCs w:val="false"/>
                <w:color w:val="374151"/>
                <w:sz w:val="18"/>
                <w:szCs w:val="18"/>
              </w:rPr>
              <w:t xml:space="preserve">1–50 depending on scope</w:t>
            </w:r>
          </w:p>
        </w:tc>
      </w:tr>
      <w:tr>
        <w:tc>
          <w:tcPr>
            <w:tcW w:type="pct" w:w="22%"/>
            <w:shd w:color="F9FAFB" w:val="solid"/>
            <w:tcMar>
              <w:top w:type="dxa" w:w="80"/>
              <w:left w:type="dxa" w:w="120"/>
              <w:bottom w:type="dxa" w:w="80"/>
              <w:right w:type="dxa" w:w="120"/>
            </w:tcMar>
          </w:tcPr>
          <w:p>
            <w:r>
              <w:rPr>
                <w:b/>
                <w:bCs/>
                <w:color w:val="0A0F1E"/>
                <w:sz w:val="18"/>
                <w:szCs w:val="18"/>
              </w:rPr>
              <w:t xml:space="preserve">Design concepts per project</w:t>
            </w:r>
          </w:p>
        </w:tc>
        <w:tc>
          <w:tcPr>
            <w:tcW w:type="pct" w:w="44%"/>
            <w:shd w:color="F9FAFB" w:val="solid"/>
            <w:tcMar>
              <w:top w:type="dxa" w:w="80"/>
              <w:left w:type="dxa" w:w="120"/>
              <w:bottom w:type="dxa" w:w="80"/>
              <w:right w:type="dxa" w:w="120"/>
            </w:tcMar>
          </w:tcPr>
          <w:p>
            <w:r>
              <w:rPr>
                <w:b w:val="false"/>
                <w:bCs w:val="false"/>
                <w:color w:val="374151"/>
                <w:sz w:val="18"/>
                <w:szCs w:val="18"/>
              </w:rPr>
              <w:t xml:space="preserve">How many distinct visual directions are you developing?</w:t>
            </w:r>
          </w:p>
        </w:tc>
        <w:tc>
          <w:tcPr>
            <w:tcW w:type="pct" w:w="34%"/>
            <w:shd w:color="F9FAFB" w:val="solid"/>
            <w:tcMar>
              <w:top w:type="dxa" w:w="80"/>
              <w:left w:type="dxa" w:w="120"/>
              <w:bottom w:type="dxa" w:w="80"/>
              <w:right w:type="dxa" w:w="120"/>
            </w:tcMar>
          </w:tcPr>
          <w:p>
            <w:r>
              <w:rPr>
                <w:b w:val="false"/>
                <w:bCs w:val="false"/>
                <w:color w:val="374151"/>
                <w:sz w:val="18"/>
                <w:szCs w:val="18"/>
              </w:rPr>
              <w:t xml:space="preserve">1 for a refresh; 2–3 for a new launch</w:t>
            </w:r>
          </w:p>
        </w:tc>
      </w:tr>
      <w:tr>
        <w:tc>
          <w:tcPr>
            <w:tcW w:type="pct" w:w="22%"/>
            <w:shd w:color="FFFFFF" w:val="solid"/>
            <w:tcMar>
              <w:top w:type="dxa" w:w="80"/>
              <w:left w:type="dxa" w:w="120"/>
              <w:bottom w:type="dxa" w:w="80"/>
              <w:right w:type="dxa" w:w="120"/>
            </w:tcMar>
          </w:tcPr>
          <w:p>
            <w:r>
              <w:rPr>
                <w:b/>
                <w:bCs/>
                <w:color w:val="0A0F1E"/>
                <w:sz w:val="18"/>
                <w:szCs w:val="18"/>
              </w:rPr>
              <w:t xml:space="preserve">AI images per product</w:t>
            </w:r>
          </w:p>
        </w:tc>
        <w:tc>
          <w:tcPr>
            <w:tcW w:type="pct" w:w="44%"/>
            <w:shd w:color="FFFFFF" w:val="solid"/>
            <w:tcMar>
              <w:top w:type="dxa" w:w="80"/>
              <w:left w:type="dxa" w:w="120"/>
              <w:bottom w:type="dxa" w:w="80"/>
              <w:right w:type="dxa" w:w="120"/>
            </w:tcMar>
          </w:tcPr>
          <w:p>
            <w:r>
              <w:rPr>
                <w:b w:val="false"/>
                <w:bCs w:val="false"/>
                <w:color w:val="374151"/>
                <w:sz w:val="18"/>
                <w:szCs w:val="18"/>
              </w:rPr>
              <w:t xml:space="preserve">How many AI-generated images do you want per listing?</w:t>
            </w:r>
          </w:p>
        </w:tc>
        <w:tc>
          <w:tcPr>
            <w:tcW w:type="pct" w:w="34%"/>
            <w:shd w:color="FFFFFF" w:val="solid"/>
            <w:tcMar>
              <w:top w:type="dxa" w:w="80"/>
              <w:left w:type="dxa" w:w="120"/>
              <w:bottom w:type="dxa" w:w="80"/>
              <w:right w:type="dxa" w:w="120"/>
            </w:tcMar>
          </w:tcPr>
          <w:p>
            <w:r>
              <w:rPr>
                <w:b w:val="false"/>
                <w:bCs w:val="false"/>
                <w:color w:val="374151"/>
                <w:sz w:val="18"/>
                <w:szCs w:val="18"/>
              </w:rPr>
              <w:t xml:space="preserve">Default is 15</w:t>
            </w:r>
          </w:p>
        </w:tc>
      </w:tr>
      <w:tr>
        <w:tc>
          <w:tcPr>
            <w:tcW w:type="pct" w:w="22%"/>
            <w:shd w:color="F9FAFB" w:val="solid"/>
            <w:tcMar>
              <w:top w:type="dxa" w:w="80"/>
              <w:left w:type="dxa" w:w="120"/>
              <w:bottom w:type="dxa" w:w="80"/>
              <w:right w:type="dxa" w:w="120"/>
            </w:tcMar>
          </w:tcPr>
          <w:p>
            <w:r>
              <w:rPr>
                <w:b/>
                <w:bCs/>
                <w:color w:val="0A0F1E"/>
                <w:sz w:val="18"/>
                <w:szCs w:val="18"/>
              </w:rPr>
              <w:t xml:space="preserve">Projects per year</w:t>
            </w:r>
          </w:p>
        </w:tc>
        <w:tc>
          <w:tcPr>
            <w:tcW w:type="pct" w:w="44%"/>
            <w:shd w:color="F9FAFB" w:val="solid"/>
            <w:tcMar>
              <w:top w:type="dxa" w:w="80"/>
              <w:left w:type="dxa" w:w="120"/>
              <w:bottom w:type="dxa" w:w="80"/>
              <w:right w:type="dxa" w:w="120"/>
            </w:tcMar>
          </w:tcPr>
          <w:p>
            <w:r>
              <w:rPr>
                <w:b w:val="false"/>
                <w:bCs w:val="false"/>
                <w:color w:val="374151"/>
                <w:sz w:val="18"/>
                <w:szCs w:val="18"/>
              </w:rPr>
              <w:t xml:space="preserve">How many creative projects does your brand run in a year?</w:t>
            </w:r>
          </w:p>
        </w:tc>
        <w:tc>
          <w:tcPr>
            <w:tcW w:type="pct" w:w="34%"/>
            <w:shd w:color="F9FAFB" w:val="solid"/>
            <w:tcMar>
              <w:top w:type="dxa" w:w="80"/>
              <w:left w:type="dxa" w:w="120"/>
              <w:bottom w:type="dxa" w:w="80"/>
              <w:right w:type="dxa" w:w="120"/>
            </w:tcMar>
          </w:tcPr>
          <w:p>
            <w:r>
              <w:rPr>
                <w:b w:val="false"/>
                <w:bCs w:val="false"/>
                <w:color w:val="374151"/>
                <w:sz w:val="18"/>
                <w:szCs w:val="18"/>
              </w:rPr>
              <w:t xml:space="preserve">1–12 depending on brand size</w:t>
            </w:r>
          </w:p>
        </w:tc>
      </w:tr>
      <w:tr>
        <w:tc>
          <w:tcPr>
            <w:tcW w:type="pct" w:w="22%"/>
            <w:shd w:color="FFFFFF" w:val="solid"/>
            <w:tcMar>
              <w:top w:type="dxa" w:w="80"/>
              <w:left w:type="dxa" w:w="120"/>
              <w:bottom w:type="dxa" w:w="80"/>
              <w:right w:type="dxa" w:w="120"/>
            </w:tcMar>
          </w:tcPr>
          <w:p>
            <w:r>
              <w:rPr>
                <w:b/>
                <w:bCs/>
                <w:color w:val="0A0F1E"/>
                <w:sz w:val="18"/>
                <w:szCs w:val="18"/>
              </w:rPr>
              <w:t xml:space="preserve">Delivery tier</w:t>
            </w:r>
          </w:p>
        </w:tc>
        <w:tc>
          <w:tcPr>
            <w:tcW w:type="pct" w:w="44%"/>
            <w:shd w:color="FFFFFF" w:val="solid"/>
            <w:tcMar>
              <w:top w:type="dxa" w:w="80"/>
              <w:left w:type="dxa" w:w="120"/>
              <w:bottom w:type="dxa" w:w="80"/>
              <w:right w:type="dxa" w:w="120"/>
            </w:tcMar>
          </w:tcPr>
          <w:p>
            <w:r>
              <w:rPr>
                <w:b w:val="false"/>
                <w:bCs w:val="false"/>
                <w:color w:val="374151"/>
                <w:sz w:val="18"/>
                <w:szCs w:val="18"/>
              </w:rPr>
              <w:t xml:space="preserve">Do you need project management included?</w:t>
            </w:r>
          </w:p>
        </w:tc>
        <w:tc>
          <w:tcPr>
            <w:tcW w:type="pct" w:w="34%"/>
            <w:shd w:color="FFFFFF" w:val="solid"/>
            <w:tcMar>
              <w:top w:type="dxa" w:w="80"/>
              <w:left w:type="dxa" w:w="120"/>
              <w:bottom w:type="dxa" w:w="80"/>
              <w:right w:type="dxa" w:w="120"/>
            </w:tcMar>
          </w:tcPr>
          <w:p>
            <w:r>
              <w:rPr>
                <w:b w:val="false"/>
                <w:bCs w:val="false"/>
                <w:color w:val="374151"/>
                <w:sz w:val="18"/>
                <w:szCs w:val="18"/>
              </w:rPr>
              <w:t xml:space="preserve">Creative only = standard; +PM adds 20%</w:t>
            </w:r>
          </w:p>
        </w:tc>
      </w:tr>
    </w:tbl>
    <w:p>
      <w:pPr>
        <w:spacing w:after="0" w:before="80"/>
      </w:pPr>
    </w:p>
    <w:p>
      <w:pPr>
        <w:spacing w:after="80" w:before="200"/>
      </w:pPr>
      <w:r>
        <w:rPr>
          <w:b/>
          <w:bCs/>
          <w:color w:val="00A7FF"/>
          <w:sz w:val="22"/>
          <w:szCs w:val="22"/>
        </w:rPr>
        <w:t xml:space="preserve">The Math</w:t>
      </w:r>
    </w:p>
    <w:p>
      <w:pPr>
        <w:pBdr>
          <w:left w:val="thick" w:color="00A7FF" w:sz="12"/>
        </w:pBdr>
        <w:shd w:color="F0F4FF" w:val="solid"/>
        <w:spacing w:after="0" w:before="120"/>
        <w:ind w:left="200"/>
      </w:pPr>
      <w:r>
        <w:rPr>
          <w:b/>
          <w:bCs/>
          <w:color w:val="0A0F1E"/>
          <w:sz w:val="18"/>
          <w:szCs w:val="18"/>
        </w:rPr>
        <w:t xml:space="preserve">Pattern's project cost</w:t>
      </w:r>
    </w:p>
    <w:p>
      <w:pPr>
        <w:pBdr>
          <w:left w:val="thick" w:color="00A7FF" w:sz="12"/>
        </w:pBdr>
        <w:shd w:color="F0F4FF" w:val="solid"/>
        <w:spacing w:after="160" w:before="0"/>
        <w:ind w:left="200"/>
      </w:pPr>
      <w:r>
        <w:rPr>
          <w:rFonts w:ascii="Courier New" w:cs="Courier New" w:eastAsia="Courier New" w:hAnsi="Courier New"/>
          <w:color w:val="0055AA"/>
          <w:sz w:val="18"/>
          <w:szCs w:val="18"/>
        </w:rPr>
        <w:t xml:space="preserve">Sum of all task minutes × role rate × scaling rule × tier multiplier</w:t>
      </w:r>
    </w:p>
    <w:p>
      <w:pPr>
        <w:pBdr>
          <w:left w:val="thick" w:color="00A7FF" w:sz="12"/>
        </w:pBdr>
        <w:shd w:color="F0F4FF" w:val="solid"/>
        <w:spacing w:after="0" w:before="120"/>
        <w:ind w:left="200"/>
      </w:pPr>
      <w:r>
        <w:rPr>
          <w:b/>
          <w:bCs/>
          <w:color w:val="0A0F1E"/>
          <w:sz w:val="18"/>
          <w:szCs w:val="18"/>
        </w:rPr>
        <w:t xml:space="preserve">Annual modeled cost</w:t>
      </w:r>
    </w:p>
    <w:p>
      <w:pPr>
        <w:pBdr>
          <w:left w:val="thick" w:color="00A7FF" w:sz="12"/>
        </w:pBdr>
        <w:shd w:color="F0F4FF" w:val="solid"/>
        <w:spacing w:after="160" w:before="0"/>
        <w:ind w:left="200"/>
      </w:pPr>
      <w:r>
        <w:rPr>
          <w:rFonts w:ascii="Courier New" w:cs="Courier New" w:eastAsia="Courier New" w:hAnsi="Courier New"/>
          <w:color w:val="0055AA"/>
          <w:sz w:val="18"/>
          <w:szCs w:val="18"/>
        </w:rPr>
        <w:t xml:space="preserve">Project cost × projects per year</w:t>
      </w:r>
    </w:p>
    <w:p>
      <w:pPr>
        <w:pBdr>
          <w:left w:val="thick" w:color="00A7FF" w:sz="12"/>
        </w:pBdr>
        <w:shd w:color="F0F4FF" w:val="solid"/>
        <w:spacing w:after="0" w:before="120"/>
        <w:ind w:left="200"/>
      </w:pPr>
      <w:r>
        <w:rPr>
          <w:b/>
          <w:bCs/>
          <w:color w:val="0A0F1E"/>
          <w:sz w:val="18"/>
          <w:szCs w:val="18"/>
        </w:rPr>
        <w:t xml:space="preserve">Creative savings (scenario-adjusted)</w:t>
      </w:r>
    </w:p>
    <w:p>
      <w:pPr>
        <w:pBdr>
          <w:left w:val="thick" w:color="00A7FF" w:sz="12"/>
        </w:pBdr>
        <w:shd w:color="F0F4FF" w:val="solid"/>
        <w:spacing w:after="160" w:before="0"/>
        <w:ind w:left="200"/>
      </w:pPr>
      <w:r>
        <w:rPr>
          <w:rFonts w:ascii="Courier New" w:cs="Courier New" w:eastAsia="Courier New" w:hAnsi="Courier New"/>
          <w:color w:val="0055AA"/>
          <w:sz w:val="18"/>
          <w:szCs w:val="18"/>
        </w:rPr>
        <w:t xml:space="preserve">max(0,  current annual spend − annual modeled cost)  ×  scenario factor</w:t>
      </w:r>
    </w:p>
    <w:p>
      <w:pPr>
        <w:spacing w:after="80" w:before="200"/>
      </w:pPr>
      <w:r>
        <w:rPr>
          <w:b/>
          <w:bCs/>
          <w:color w:val="00A7FF"/>
          <w:sz w:val="22"/>
          <w:szCs w:val="22"/>
        </w:rPr>
        <w:t xml:space="preserve">How to Talk About It</w:t>
      </w:r>
    </w:p>
    <w:p>
      <w:pPr>
        <w:pStyle w:val="ListParagraph"/>
        <w:numPr>
          <w:ilvl w:val="0"/>
          <w:numId w:val="1"/>
        </w:numPr>
        <w:spacing w:after="40" w:before="40"/>
      </w:pPr>
      <w:r>
        <w:rPr>
          <w:color w:val="1F2937"/>
          <w:sz w:val="20"/>
          <w:szCs w:val="20"/>
        </w:rPr>
        <w:t xml:space="preserve">"This is the only section in the tool where you can see exactly what Pattern charges, broken down by task. Most agencies can't show you this."</w:t>
      </w:r>
    </w:p>
    <w:p>
      <w:pPr>
        <w:pStyle w:val="ListParagraph"/>
        <w:numPr>
          <w:ilvl w:val="0"/>
          <w:numId w:val="1"/>
        </w:numPr>
        <w:spacing w:after="40" w:before="40"/>
      </w:pPr>
      <w:r>
        <w:rPr>
          <w:color w:val="1F2937"/>
          <w:sz w:val="20"/>
          <w:szCs w:val="20"/>
        </w:rPr>
        <w:t xml:space="preserve">If they do creative in-house: "This lever will show $0 for you — which is correct. The value of PXM for your team is in Sections 02 through 04."</w:t>
      </w:r>
    </w:p>
    <w:p>
      <w:pPr>
        <w:pStyle w:val="ListParagraph"/>
        <w:numPr>
          <w:ilvl w:val="0"/>
          <w:numId w:val="1"/>
        </w:numPr>
        <w:spacing w:after="40" w:before="40"/>
      </w:pPr>
      <w:r>
        <w:rPr>
          <w:color w:val="1F2937"/>
          <w:sz w:val="20"/>
          <w:szCs w:val="20"/>
        </w:rPr>
        <w:t xml:space="preserve">If they have agency spend: "Enter what you pay your agency today. If Pattern's cost is lower, the difference is a real year-one saving."</w:t>
      </w:r>
    </w:p>
    <w:p>
      <w:pPr>
        <w:pBdr>
          <w:left w:val="thick" w:color="F59E0B" w:sz="12"/>
        </w:pBdr>
        <w:shd w:color="FFF8E1" w:val="solid"/>
        <w:spacing w:after="0" w:before="160"/>
        <w:ind w:left="200"/>
      </w:pPr>
      <w:r>
        <w:rPr>
          <w:b/>
          <w:bCs/>
          <w:color w:val="0A0F1E"/>
          <w:sz w:val="18"/>
          <w:szCs w:val="18"/>
        </w:rPr>
        <w:t xml:space="preserve">Scenario example  </w:t>
      </w:r>
    </w:p>
    <w:p>
      <w:pPr>
        <w:pBdr>
          <w:left w:val="thick" w:color="F59E0B" w:sz="12"/>
        </w:pBdr>
        <w:shd w:color="FFF8E1" w:val="solid"/>
        <w:spacing w:after="160" w:before="0"/>
        <w:ind w:left="200"/>
      </w:pPr>
      <w:r>
        <w:rPr>
          <w:color w:val="1F2937"/>
          <w:sz w:val="18"/>
          <w:szCs w:val="18"/>
        </w:rPr>
        <w:t xml:space="preserve">Brand pays $80,000/year to an agency. Pattern's modeled cost for the same scope is $45,000. Conservative (0.7×): $24,500 savings. Expected (1.0×): $35,000. Upside (1.3×): $45,500.</w:t>
      </w:r>
    </w:p>
    <w:p>
      <w:pPr>
        <w:pBdr>
          <w:bottom w:val="single" w:color="E5E7EB" w:sz="6"/>
        </w:pBdr>
        <w:spacing w:after="240" w:before="240"/>
      </w:pPr>
    </w:p>
    <w:p>
      <w:pPr>
        <w:spacing w:after="60" w:before="240"/>
      </w:pPr>
      <w:r>
        <w:rPr>
          <w:b/>
          <w:bCs/>
          <w:caps/>
          <w:color w:val="00A7FF"/>
          <w:sz w:val="16"/>
          <w:szCs w:val="16"/>
        </w:rPr>
        <w:t xml:space="preserve">Section 02</w:t>
      </w:r>
    </w:p>
    <w:p>
      <w:pPr>
        <w:pStyle w:val="Heading2"/>
        <w:spacing w:after="100" w:before="280"/>
      </w:pPr>
      <w:r>
        <w:rPr>
          <w:b/>
          <w:bCs/>
          <w:color w:val="00A7FF"/>
          <w:sz w:val="32"/>
          <w:szCs w:val="32"/>
        </w:rPr>
        <w:t xml:space="preserve">Content &amp; Asset Operations</w:t>
      </w:r>
    </w:p>
    <w:p>
      <w:pPr>
        <w:spacing w:after="120" w:before="0"/>
      </w:pPr>
      <w:r>
        <w:rPr>
          <w:color w:val="1F2937"/>
          <w:sz w:val="20"/>
          <w:szCs w:val="20"/>
        </w:rPr>
        <w:t xml:space="preserve">The PIM + DAM value of PXM. Universally applicable — every brand with 100+ SKUs has this problem.</w:t>
      </w:r>
    </w:p>
    <w:p>
      <w:pPr>
        <w:spacing w:after="80" w:before="200"/>
      </w:pPr>
      <w:r>
        <w:rPr>
          <w:b/>
          <w:bCs/>
          <w:color w:val="00A7FF"/>
          <w:sz w:val="22"/>
          <w:szCs w:val="22"/>
        </w:rPr>
        <w:t xml:space="preserve">What It Is</w:t>
      </w:r>
    </w:p>
    <w:p>
      <w:pPr>
        <w:spacing w:after="120" w:before="0"/>
      </w:pPr>
      <w:r>
        <w:rPr>
          <w:color w:val="1F2937"/>
          <w:sz w:val="20"/>
          <w:szCs w:val="20"/>
        </w:rPr>
        <w:t xml:space="preserve">Every time someone on the team manually updates a product listing, reformats content for a new retailer, or spends 20 minutes hunting for the right product image — that's labor the platform eliminates. This is invisible cost: buried in salary hours, never showing up on a budget line.</w:t>
      </w:r>
    </w:p>
    <w:p>
      <w:pPr>
        <w:spacing w:after="80" w:before="200"/>
      </w:pPr>
      <w:r>
        <w:rPr>
          <w:b/>
          <w:bCs/>
          <w:color w:val="00A7FF"/>
          <w:sz w:val="22"/>
          <w:szCs w:val="22"/>
        </w:rPr>
        <w:t xml:space="preserve">Why You Bring It In</w:t>
      </w:r>
    </w:p>
    <w:p>
      <w:pPr>
        <w:spacing w:after="120" w:before="0"/>
      </w:pPr>
      <w:r>
        <w:rPr>
          <w:color w:val="1F2937"/>
          <w:sz w:val="20"/>
          <w:szCs w:val="20"/>
        </w:rPr>
        <w:t xml:space="preserve">This is the most universally resonant section. Most brands have never added up how many manual content updates they do per year or how long each one takes. Walking through the fields together IS the discovery conversation — their answers reveal a cost they didn't know they had.</w:t>
      </w:r>
    </w:p>
    <w:p>
      <w:pPr>
        <w:spacing w:after="80" w:before="200"/>
      </w:pPr>
      <w:r>
        <w:rPr>
          <w:b/>
          <w:bCs/>
          <w:color w:val="00A7FF"/>
          <w:sz w:val="22"/>
          <w:szCs w:val="22"/>
        </w:rPr>
        <w:t xml:space="preserve">Fields &amp; What to 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color="111827" w:val="solid"/>
            <w:tcMar>
              <w:top w:type="dxa" w:w="80"/>
              <w:left w:type="dxa" w:w="120"/>
              <w:bottom w:type="dxa" w:w="80"/>
              <w:right w:type="dxa" w:w="120"/>
            </w:tcMar>
          </w:tcPr>
          <w:p>
            <w:r>
              <w:rPr>
                <w:b/>
                <w:bCs/>
                <w:color w:val="FFFFFF"/>
                <w:sz w:val="18"/>
                <w:szCs w:val="18"/>
              </w:rPr>
              <w:t xml:space="preserve">Field</w:t>
            </w:r>
          </w:p>
        </w:tc>
        <w:tc>
          <w:tcPr>
            <w:tcW w:type="pct" w:w="44%"/>
            <w:shd w:color="111827" w:val="solid"/>
            <w:tcMar>
              <w:top w:type="dxa" w:w="80"/>
              <w:left w:type="dxa" w:w="120"/>
              <w:bottom w:type="dxa" w:w="80"/>
              <w:right w:type="dxa" w:w="120"/>
            </w:tcMar>
          </w:tcPr>
          <w:p>
            <w:r>
              <w:rPr>
                <w:b/>
                <w:bCs/>
                <w:color w:val="FFFFFF"/>
                <w:sz w:val="18"/>
                <w:szCs w:val="18"/>
              </w:rPr>
              <w:t xml:space="preserve">Plain-English Question to Ask</w:t>
            </w:r>
          </w:p>
        </w:tc>
        <w:tc>
          <w:tcPr>
            <w:tcW w:type="pct" w:w="34%"/>
            <w:shd w:color="111827" w:val="solid"/>
            <w:tcMar>
              <w:top w:type="dxa" w:w="80"/>
              <w:left w:type="dxa" w:w="120"/>
              <w:bottom w:type="dxa" w:w="80"/>
              <w:right w:type="dxa" w:w="120"/>
            </w:tcMar>
          </w:tcPr>
          <w:p>
            <w:r>
              <w:rPr>
                <w:b/>
                <w:bCs/>
                <w:color w:val="FFFFFF"/>
                <w:sz w:val="18"/>
                <w:szCs w:val="18"/>
              </w:rPr>
              <w:t xml:space="preserve">Typical Starting Point</w:t>
            </w:r>
          </w:p>
        </w:tc>
      </w:tr>
      <w:tr>
        <w:tc>
          <w:tcPr>
            <w:tcW w:type="pct" w:w="22%"/>
            <w:shd w:color="F9FAFB" w:val="solid"/>
            <w:tcMar>
              <w:top w:type="dxa" w:w="80"/>
              <w:left w:type="dxa" w:w="120"/>
              <w:bottom w:type="dxa" w:w="80"/>
              <w:right w:type="dxa" w:w="120"/>
            </w:tcMar>
          </w:tcPr>
          <w:p>
            <w:r>
              <w:rPr>
                <w:b/>
                <w:bCs/>
                <w:color w:val="0A0F1E"/>
                <w:sz w:val="18"/>
                <w:szCs w:val="18"/>
              </w:rPr>
              <w:t xml:space="preserve">Products in scope</w:t>
            </w:r>
          </w:p>
        </w:tc>
        <w:tc>
          <w:tcPr>
            <w:tcW w:type="pct" w:w="44%"/>
            <w:shd w:color="F9FAFB" w:val="solid"/>
            <w:tcMar>
              <w:top w:type="dxa" w:w="80"/>
              <w:left w:type="dxa" w:w="120"/>
              <w:bottom w:type="dxa" w:w="80"/>
              <w:right w:type="dxa" w:w="120"/>
            </w:tcMar>
          </w:tcPr>
          <w:p>
            <w:r>
              <w:rPr>
                <w:b w:val="false"/>
                <w:bCs w:val="false"/>
                <w:color w:val="374151"/>
                <w:sz w:val="18"/>
                <w:szCs w:val="18"/>
              </w:rPr>
              <w:t xml:space="preserve">How many active SKUs does your team manage content for?</w:t>
            </w:r>
          </w:p>
        </w:tc>
        <w:tc>
          <w:tcPr>
            <w:tcW w:type="pct" w:w="34%"/>
            <w:shd w:color="F9FAFB" w:val="solid"/>
            <w:tcMar>
              <w:top w:type="dxa" w:w="80"/>
              <w:left w:type="dxa" w:w="120"/>
              <w:bottom w:type="dxa" w:w="80"/>
              <w:right w:type="dxa" w:w="120"/>
            </w:tcMar>
          </w:tcPr>
          <w:p>
            <w:r>
              <w:rPr>
                <w:b w:val="false"/>
                <w:bCs w:val="false"/>
                <w:color w:val="374151"/>
                <w:sz w:val="18"/>
                <w:szCs w:val="18"/>
              </w:rPr>
              <w:t xml:space="preserve">100–10,000 depending on brand</w:t>
            </w:r>
          </w:p>
        </w:tc>
      </w:tr>
      <w:tr>
        <w:tc>
          <w:tcPr>
            <w:tcW w:type="pct" w:w="22%"/>
            <w:shd w:color="FFFFFF" w:val="solid"/>
            <w:tcMar>
              <w:top w:type="dxa" w:w="80"/>
              <w:left w:type="dxa" w:w="120"/>
              <w:bottom w:type="dxa" w:w="80"/>
              <w:right w:type="dxa" w:w="120"/>
            </w:tcMar>
          </w:tcPr>
          <w:p>
            <w:r>
              <w:rPr>
                <w:b/>
                <w:bCs/>
                <w:color w:val="0A0F1E"/>
                <w:sz w:val="18"/>
                <w:szCs w:val="18"/>
              </w:rPr>
              <w:t xml:space="preserve">Updates / product / year</w:t>
            </w:r>
          </w:p>
        </w:tc>
        <w:tc>
          <w:tcPr>
            <w:tcW w:type="pct" w:w="44%"/>
            <w:shd w:color="FFFFFF" w:val="solid"/>
            <w:tcMar>
              <w:top w:type="dxa" w:w="80"/>
              <w:left w:type="dxa" w:w="120"/>
              <w:bottom w:type="dxa" w:w="80"/>
              <w:right w:type="dxa" w:w="120"/>
            </w:tcMar>
          </w:tcPr>
          <w:p>
            <w:r>
              <w:rPr>
                <w:b w:val="false"/>
                <w:bCs w:val="false"/>
                <w:color w:val="374151"/>
                <w:sz w:val="18"/>
                <w:szCs w:val="18"/>
              </w:rPr>
              <w:t xml:space="preserve">How often does product content change — seasonally, pricing, copy, new images?</w:t>
            </w:r>
          </w:p>
        </w:tc>
        <w:tc>
          <w:tcPr>
            <w:tcW w:type="pct" w:w="34%"/>
            <w:shd w:color="FFFFFF" w:val="solid"/>
            <w:tcMar>
              <w:top w:type="dxa" w:w="80"/>
              <w:left w:type="dxa" w:w="120"/>
              <w:bottom w:type="dxa" w:w="80"/>
              <w:right w:type="dxa" w:w="120"/>
            </w:tcMar>
          </w:tcPr>
          <w:p>
            <w:r>
              <w:rPr>
                <w:b w:val="false"/>
                <w:bCs w:val="false"/>
                <w:color w:val="374151"/>
                <w:sz w:val="18"/>
                <w:szCs w:val="18"/>
              </w:rPr>
              <w:t xml:space="preserve">2–4× per year</w:t>
            </w:r>
          </w:p>
        </w:tc>
      </w:tr>
      <w:tr>
        <w:tc>
          <w:tcPr>
            <w:tcW w:type="pct" w:w="22%"/>
            <w:shd w:color="F9FAFB" w:val="solid"/>
            <w:tcMar>
              <w:top w:type="dxa" w:w="80"/>
              <w:left w:type="dxa" w:w="120"/>
              <w:bottom w:type="dxa" w:w="80"/>
              <w:right w:type="dxa" w:w="120"/>
            </w:tcMar>
          </w:tcPr>
          <w:p>
            <w:r>
              <w:rPr>
                <w:b/>
                <w:bCs/>
                <w:color w:val="0A0F1E"/>
                <w:sz w:val="18"/>
                <w:szCs w:val="18"/>
              </w:rPr>
              <w:t xml:space="preserve">Minutes / manual update</w:t>
            </w:r>
          </w:p>
        </w:tc>
        <w:tc>
          <w:tcPr>
            <w:tcW w:type="pct" w:w="44%"/>
            <w:shd w:color="F9FAFB" w:val="solid"/>
            <w:tcMar>
              <w:top w:type="dxa" w:w="80"/>
              <w:left w:type="dxa" w:w="120"/>
              <w:bottom w:type="dxa" w:w="80"/>
              <w:right w:type="dxa" w:w="120"/>
            </w:tcMar>
          </w:tcPr>
          <w:p>
            <w:r>
              <w:rPr>
                <w:b w:val="false"/>
                <w:bCs w:val="false"/>
                <w:color w:val="374151"/>
                <w:sz w:val="18"/>
                <w:szCs w:val="18"/>
              </w:rPr>
              <w:t xml:space="preserve">How long does one content update take today — logging in, reformatting, submitting?</w:t>
            </w:r>
          </w:p>
        </w:tc>
        <w:tc>
          <w:tcPr>
            <w:tcW w:type="pct" w:w="34%"/>
            <w:shd w:color="F9FAFB" w:val="solid"/>
            <w:tcMar>
              <w:top w:type="dxa" w:w="80"/>
              <w:left w:type="dxa" w:w="120"/>
              <w:bottom w:type="dxa" w:w="80"/>
              <w:right w:type="dxa" w:w="120"/>
            </w:tcMar>
          </w:tcPr>
          <w:p>
            <w:r>
              <w:rPr>
                <w:b w:val="false"/>
                <w:bCs w:val="false"/>
                <w:color w:val="374151"/>
                <w:sz w:val="18"/>
                <w:szCs w:val="18"/>
              </w:rPr>
              <w:t xml:space="preserve">20–45 minutes</w:t>
            </w:r>
          </w:p>
        </w:tc>
      </w:tr>
      <w:tr>
        <w:tc>
          <w:tcPr>
            <w:tcW w:type="pct" w:w="22%"/>
            <w:shd w:color="FFFFFF" w:val="solid"/>
            <w:tcMar>
              <w:top w:type="dxa" w:w="80"/>
              <w:left w:type="dxa" w:w="120"/>
              <w:bottom w:type="dxa" w:w="80"/>
              <w:right w:type="dxa" w:w="120"/>
            </w:tcMar>
          </w:tcPr>
          <w:p>
            <w:r>
              <w:rPr>
                <w:b/>
                <w:bCs/>
                <w:color w:val="0A0F1E"/>
                <w:sz w:val="18"/>
                <w:szCs w:val="18"/>
              </w:rPr>
              <w:t xml:space="preserve">Time saved per update</w:t>
            </w:r>
          </w:p>
        </w:tc>
        <w:tc>
          <w:tcPr>
            <w:tcW w:type="pct" w:w="44%"/>
            <w:shd w:color="FFFFFF" w:val="solid"/>
            <w:tcMar>
              <w:top w:type="dxa" w:w="80"/>
              <w:left w:type="dxa" w:w="120"/>
              <w:bottom w:type="dxa" w:w="80"/>
              <w:right w:type="dxa" w:w="120"/>
            </w:tcMar>
          </w:tcPr>
          <w:p>
            <w:r>
              <w:rPr>
                <w:b w:val="false"/>
                <w:bCs w:val="false"/>
                <w:color w:val="374151"/>
                <w:sz w:val="18"/>
                <w:szCs w:val="18"/>
              </w:rPr>
              <w:t xml:space="preserve">What portion of that manual work disappears when content is managed in one place?</w:t>
            </w:r>
          </w:p>
        </w:tc>
        <w:tc>
          <w:tcPr>
            <w:tcW w:type="pct" w:w="34%"/>
            <w:shd w:color="FFFFFF" w:val="solid"/>
            <w:tcMar>
              <w:top w:type="dxa" w:w="80"/>
              <w:left w:type="dxa" w:w="120"/>
              <w:bottom w:type="dxa" w:w="80"/>
              <w:right w:type="dxa" w:w="120"/>
            </w:tcMar>
          </w:tcPr>
          <w:p>
            <w:r>
              <w:rPr>
                <w:b w:val="false"/>
                <w:bCs w:val="false"/>
                <w:color w:val="374151"/>
                <w:sz w:val="18"/>
                <w:szCs w:val="18"/>
              </w:rPr>
              <w:t xml:space="preserve">50–70% is a reasonable start</w:t>
            </w:r>
          </w:p>
        </w:tc>
      </w:tr>
      <w:tr>
        <w:tc>
          <w:tcPr>
            <w:tcW w:type="pct" w:w="22%"/>
            <w:shd w:color="F9FAFB" w:val="solid"/>
            <w:tcMar>
              <w:top w:type="dxa" w:w="80"/>
              <w:left w:type="dxa" w:w="120"/>
              <w:bottom w:type="dxa" w:w="80"/>
              <w:right w:type="dxa" w:w="120"/>
            </w:tcMar>
          </w:tcPr>
          <w:p>
            <w:r>
              <w:rPr>
                <w:b/>
                <w:bCs/>
                <w:color w:val="0A0F1E"/>
                <w:sz w:val="18"/>
                <w:szCs w:val="18"/>
              </w:rPr>
              <w:t xml:space="preserve">Asset requests / year</w:t>
            </w:r>
          </w:p>
        </w:tc>
        <w:tc>
          <w:tcPr>
            <w:tcW w:type="pct" w:w="44%"/>
            <w:shd w:color="F9FAFB" w:val="solid"/>
            <w:tcMar>
              <w:top w:type="dxa" w:w="80"/>
              <w:left w:type="dxa" w:w="120"/>
              <w:bottom w:type="dxa" w:w="80"/>
              <w:right w:type="dxa" w:w="120"/>
            </w:tcMar>
          </w:tcPr>
          <w:p>
            <w:r>
              <w:rPr>
                <w:b w:val="false"/>
                <w:bCs w:val="false"/>
                <w:color w:val="374151"/>
                <w:sz w:val="18"/>
                <w:szCs w:val="18"/>
              </w:rPr>
              <w:t xml:space="preserve">How many times a year does someone on your team search for, request, or re-send a product image or file?</w:t>
            </w:r>
          </w:p>
        </w:tc>
        <w:tc>
          <w:tcPr>
            <w:tcW w:type="pct" w:w="34%"/>
            <w:shd w:color="F9FAFB" w:val="solid"/>
            <w:tcMar>
              <w:top w:type="dxa" w:w="80"/>
              <w:left w:type="dxa" w:w="120"/>
              <w:bottom w:type="dxa" w:w="80"/>
              <w:right w:type="dxa" w:w="120"/>
            </w:tcMar>
          </w:tcPr>
          <w:p>
            <w:r>
              <w:rPr>
                <w:b w:val="false"/>
                <w:bCs w:val="false"/>
                <w:color w:val="374151"/>
                <w:sz w:val="18"/>
                <w:szCs w:val="18"/>
              </w:rPr>
              <w:t xml:space="preserve">200–2,000 depending on team size</w:t>
            </w:r>
          </w:p>
        </w:tc>
      </w:tr>
      <w:tr>
        <w:tc>
          <w:tcPr>
            <w:tcW w:type="pct" w:w="22%"/>
            <w:shd w:color="FFFFFF" w:val="solid"/>
            <w:tcMar>
              <w:top w:type="dxa" w:w="80"/>
              <w:left w:type="dxa" w:w="120"/>
              <w:bottom w:type="dxa" w:w="80"/>
              <w:right w:type="dxa" w:w="120"/>
            </w:tcMar>
          </w:tcPr>
          <w:p>
            <w:r>
              <w:rPr>
                <w:b/>
                <w:bCs/>
                <w:color w:val="0A0F1E"/>
                <w:sz w:val="18"/>
                <w:szCs w:val="18"/>
              </w:rPr>
              <w:t xml:space="preserve">Minutes saved / request</w:t>
            </w:r>
          </w:p>
        </w:tc>
        <w:tc>
          <w:tcPr>
            <w:tcW w:type="pct" w:w="44%"/>
            <w:shd w:color="FFFFFF" w:val="solid"/>
            <w:tcMar>
              <w:top w:type="dxa" w:w="80"/>
              <w:left w:type="dxa" w:w="120"/>
              <w:bottom w:type="dxa" w:w="80"/>
              <w:right w:type="dxa" w:w="120"/>
            </w:tcMar>
          </w:tcPr>
          <w:p>
            <w:r>
              <w:rPr>
                <w:b w:val="false"/>
                <w:bCs w:val="false"/>
                <w:color w:val="374151"/>
                <w:sz w:val="18"/>
                <w:szCs w:val="18"/>
              </w:rPr>
              <w:t xml:space="preserve">How long does it take to track down an asset today vs. finding it in a searchable library?</w:t>
            </w:r>
          </w:p>
        </w:tc>
        <w:tc>
          <w:tcPr>
            <w:tcW w:type="pct" w:w="34%"/>
            <w:shd w:color="FFFFFF" w:val="solid"/>
            <w:tcMar>
              <w:top w:type="dxa" w:w="80"/>
              <w:left w:type="dxa" w:w="120"/>
              <w:bottom w:type="dxa" w:w="80"/>
              <w:right w:type="dxa" w:w="120"/>
            </w:tcMar>
          </w:tcPr>
          <w:p>
            <w:r>
              <w:rPr>
                <w:b w:val="false"/>
                <w:bCs w:val="false"/>
                <w:color w:val="374151"/>
                <w:sz w:val="18"/>
                <w:szCs w:val="18"/>
              </w:rPr>
              <w:t xml:space="preserve">15–25 minutes</w:t>
            </w:r>
          </w:p>
        </w:tc>
      </w:tr>
      <w:tr>
        <w:tc>
          <w:tcPr>
            <w:tcW w:type="pct" w:w="22%"/>
            <w:shd w:color="F9FAFB" w:val="solid"/>
            <w:tcMar>
              <w:top w:type="dxa" w:w="80"/>
              <w:left w:type="dxa" w:w="120"/>
              <w:bottom w:type="dxa" w:w="80"/>
              <w:right w:type="dxa" w:w="120"/>
            </w:tcMar>
          </w:tcPr>
          <w:p>
            <w:r>
              <w:rPr>
                <w:b/>
                <w:bCs/>
                <w:color w:val="0A0F1E"/>
                <w:sz w:val="18"/>
                <w:szCs w:val="18"/>
              </w:rPr>
              <w:t xml:space="preserve">Team hourly rate</w:t>
            </w:r>
          </w:p>
        </w:tc>
        <w:tc>
          <w:tcPr>
            <w:tcW w:type="pct" w:w="44%"/>
            <w:shd w:color="F9FAFB" w:val="solid"/>
            <w:tcMar>
              <w:top w:type="dxa" w:w="80"/>
              <w:left w:type="dxa" w:w="120"/>
              <w:bottom w:type="dxa" w:w="80"/>
              <w:right w:type="dxa" w:w="120"/>
            </w:tcMar>
          </w:tcPr>
          <w:p>
            <w:r>
              <w:rPr>
                <w:b w:val="false"/>
                <w:bCs w:val="false"/>
                <w:color w:val="374151"/>
                <w:sz w:val="18"/>
                <w:szCs w:val="18"/>
              </w:rPr>
              <w:t xml:space="preserve">What is your fully-loaded cost per hour — salary, benefits, and overhead?</w:t>
            </w:r>
          </w:p>
        </w:tc>
        <w:tc>
          <w:tcPr>
            <w:tcW w:type="pct" w:w="34%"/>
            <w:shd w:color="F9FAFB" w:val="solid"/>
            <w:tcMar>
              <w:top w:type="dxa" w:w="80"/>
              <w:left w:type="dxa" w:w="120"/>
              <w:bottom w:type="dxa" w:w="80"/>
              <w:right w:type="dxa" w:w="120"/>
            </w:tcMar>
          </w:tcPr>
          <w:p>
            <w:r>
              <w:rPr>
                <w:b w:val="false"/>
                <w:bCs w:val="false"/>
                <w:color w:val="374151"/>
                <w:sz w:val="18"/>
                <w:szCs w:val="18"/>
              </w:rPr>
              <w:t xml:space="preserve">$45–$65/hr is typical</w:t>
            </w:r>
          </w:p>
        </w:tc>
      </w:tr>
    </w:tbl>
    <w:p>
      <w:pPr>
        <w:spacing w:after="0" w:before="80"/>
      </w:pPr>
    </w:p>
    <w:p>
      <w:pPr>
        <w:spacing w:after="80" w:before="200"/>
      </w:pPr>
      <w:r>
        <w:rPr>
          <w:b/>
          <w:bCs/>
          <w:color w:val="00A7FF"/>
          <w:sz w:val="22"/>
          <w:szCs w:val="22"/>
        </w:rPr>
        <w:t xml:space="preserve">The Math</w:t>
      </w:r>
    </w:p>
    <w:p>
      <w:pPr>
        <w:pBdr>
          <w:left w:val="thick" w:color="00A7FF" w:sz="12"/>
        </w:pBdr>
        <w:shd w:color="F0F4FF" w:val="solid"/>
        <w:spacing w:after="0" w:before="120"/>
        <w:ind w:left="200"/>
      </w:pPr>
      <w:r>
        <w:rPr>
          <w:b/>
          <w:bCs/>
          <w:color w:val="0A0F1E"/>
          <w:sz w:val="18"/>
          <w:szCs w:val="18"/>
        </w:rPr>
        <w:t xml:space="preserve">Content operations value</w:t>
      </w:r>
    </w:p>
    <w:p>
      <w:pPr>
        <w:pBdr>
          <w:left w:val="thick" w:color="00A7FF" w:sz="12"/>
        </w:pBdr>
        <w:shd w:color="F0F4FF" w:val="solid"/>
        <w:spacing w:after="160" w:before="0"/>
        <w:ind w:left="200"/>
      </w:pPr>
      <w:r>
        <w:rPr>
          <w:rFonts w:ascii="Courier New" w:cs="Courier New" w:eastAsia="Courier New" w:hAnsi="Courier New"/>
          <w:color w:val="0055AA"/>
          <w:sz w:val="18"/>
          <w:szCs w:val="18"/>
        </w:rPr>
        <w:t xml:space="preserve">products × updates/yr × minutes/update × time-saved%  ÷ 60  × hourly rate  × scenario factor</w:t>
      </w:r>
    </w:p>
    <w:p>
      <w:pPr>
        <w:pBdr>
          <w:left w:val="thick" w:color="00A7FF" w:sz="12"/>
        </w:pBdr>
        <w:shd w:color="F0F4FF" w:val="solid"/>
        <w:spacing w:after="0" w:before="120"/>
        <w:ind w:left="200"/>
      </w:pPr>
      <w:r>
        <w:rPr>
          <w:b/>
          <w:bCs/>
          <w:color w:val="0A0F1E"/>
          <w:sz w:val="18"/>
          <w:szCs w:val="18"/>
        </w:rPr>
        <w:t xml:space="preserve">Asset operations value</w:t>
      </w:r>
    </w:p>
    <w:p>
      <w:pPr>
        <w:pBdr>
          <w:left w:val="thick" w:color="00A7FF" w:sz="12"/>
        </w:pBdr>
        <w:shd w:color="F0F4FF" w:val="solid"/>
        <w:spacing w:after="160" w:before="0"/>
        <w:ind w:left="200"/>
      </w:pPr>
      <w:r>
        <w:rPr>
          <w:rFonts w:ascii="Courier New" w:cs="Courier New" w:eastAsia="Courier New" w:hAnsi="Courier New"/>
          <w:color w:val="0055AA"/>
          <w:sz w:val="18"/>
          <w:szCs w:val="18"/>
        </w:rPr>
        <w:t xml:space="preserve">asset requests/yr × minutes-saved/request  ÷ 60  × hourly rate  × scenario factor</w:t>
      </w:r>
    </w:p>
    <w:p>
      <w:pPr>
        <w:pBdr>
          <w:left w:val="thick" w:color="00A7FF" w:sz="12"/>
        </w:pBdr>
        <w:shd w:color="F0F4FF" w:val="solid"/>
        <w:spacing w:after="0" w:before="120"/>
        <w:ind w:left="200"/>
      </w:pPr>
      <w:r>
        <w:rPr>
          <w:b/>
          <w:bCs/>
          <w:color w:val="0A0F1E"/>
          <w:sz w:val="18"/>
          <w:szCs w:val="18"/>
        </w:rPr>
        <w:t xml:space="preserve">Combined ops value</w:t>
      </w:r>
    </w:p>
    <w:p>
      <w:pPr>
        <w:pBdr>
          <w:left w:val="thick" w:color="00A7FF" w:sz="12"/>
        </w:pBdr>
        <w:shd w:color="F0F4FF" w:val="solid"/>
        <w:spacing w:after="160" w:before="0"/>
        <w:ind w:left="200"/>
      </w:pPr>
      <w:r>
        <w:rPr>
          <w:rFonts w:ascii="Courier New" w:cs="Courier New" w:eastAsia="Courier New" w:hAnsi="Courier New"/>
          <w:color w:val="0055AA"/>
          <w:sz w:val="18"/>
          <w:szCs w:val="18"/>
        </w:rPr>
        <w:t xml:space="preserve">content operations value  +  asset operations value</w:t>
      </w:r>
    </w:p>
    <w:p>
      <w:pPr>
        <w:spacing w:after="80" w:before="200"/>
      </w:pPr>
      <w:r>
        <w:rPr>
          <w:b/>
          <w:bCs/>
          <w:color w:val="00A7FF"/>
          <w:sz w:val="22"/>
          <w:szCs w:val="22"/>
        </w:rPr>
        <w:t xml:space="preserve">How to Talk About It</w:t>
      </w:r>
    </w:p>
    <w:p>
      <w:pPr>
        <w:pStyle w:val="ListParagraph"/>
        <w:numPr>
          <w:ilvl w:val="0"/>
          <w:numId w:val="1"/>
        </w:numPr>
        <w:spacing w:after="40" w:before="40"/>
      </w:pPr>
      <w:r>
        <w:rPr>
          <w:color w:val="1F2937"/>
          <w:sz w:val="20"/>
          <w:szCs w:val="20"/>
        </w:rPr>
        <w:t xml:space="preserve">"Your team is spending X hours a year on work that shouldn't exist. PXM's single source of truth makes most of it disappear."</w:t>
      </w:r>
    </w:p>
    <w:p>
      <w:pPr>
        <w:pStyle w:val="ListParagraph"/>
        <w:numPr>
          <w:ilvl w:val="0"/>
          <w:numId w:val="1"/>
        </w:numPr>
        <w:spacing w:after="40" w:before="40"/>
      </w:pPr>
      <w:r>
        <w:rPr>
          <w:color w:val="1F2937"/>
          <w:sz w:val="20"/>
          <w:szCs w:val="20"/>
        </w:rPr>
        <w:t xml:space="preserve">"We're not estimating this — these are your numbers. The tool just converts them into hours and dollars."</w:t>
      </w:r>
    </w:p>
    <w:p>
      <w:pPr>
        <w:pStyle w:val="ListParagraph"/>
        <w:numPr>
          <w:ilvl w:val="0"/>
          <w:numId w:val="1"/>
        </w:numPr>
        <w:spacing w:after="40" w:before="40"/>
      </w:pPr>
      <w:r>
        <w:rPr>
          <w:color w:val="1F2937"/>
          <w:sz w:val="20"/>
          <w:szCs w:val="20"/>
        </w:rPr>
        <w:t xml:space="preserve">Lead with products and updates first. Once those are in, the hours number usually surprises people.</w:t>
      </w:r>
    </w:p>
    <w:p>
      <w:pPr>
        <w:pBdr>
          <w:left w:val="thick" w:color="F59E0B" w:sz="12"/>
        </w:pBdr>
        <w:shd w:color="FFF8E1" w:val="solid"/>
        <w:spacing w:after="0" w:before="160"/>
        <w:ind w:left="200"/>
      </w:pPr>
      <w:r>
        <w:rPr>
          <w:b/>
          <w:bCs/>
          <w:color w:val="0A0F1E"/>
          <w:sz w:val="18"/>
          <w:szCs w:val="18"/>
        </w:rPr>
        <w:t xml:space="preserve">Scenario example  </w:t>
      </w:r>
    </w:p>
    <w:p>
      <w:pPr>
        <w:pBdr>
          <w:left w:val="thick" w:color="F59E0B" w:sz="12"/>
        </w:pBdr>
        <w:shd w:color="FFF8E1" w:val="solid"/>
        <w:spacing w:after="160" w:before="0"/>
        <w:ind w:left="200"/>
      </w:pPr>
      <w:r>
        <w:rPr>
          <w:color w:val="1F2937"/>
          <w:sz w:val="18"/>
          <w:szCs w:val="18"/>
        </w:rPr>
        <w:t xml:space="preserve">500 products, 3 updates/year, 30 min/update, 60% time saved, $50/hr. Content ops: 500 × 3 × 30 × 0.60 ÷ 60 × $50 = $22,500. Conservative (0.7×): $15,750. Expected (1.0×): $22,500. Upside (1.3×): $29,250.</w:t>
      </w:r>
    </w:p>
    <w:p>
      <w:r>
        <w:br w:type="page"/>
      </w:r>
    </w:p>
    <w:p>
      <w:pPr>
        <w:spacing w:after="60" w:before="240"/>
      </w:pPr>
      <w:r>
        <w:rPr>
          <w:b/>
          <w:bCs/>
          <w:caps/>
          <w:color w:val="00A7FF"/>
          <w:sz w:val="16"/>
          <w:szCs w:val="16"/>
        </w:rPr>
        <w:t xml:space="preserve">Section 03</w:t>
      </w:r>
    </w:p>
    <w:p>
      <w:pPr>
        <w:pStyle w:val="Heading2"/>
        <w:spacing w:after="100" w:before="280"/>
      </w:pPr>
      <w:r>
        <w:rPr>
          <w:b/>
          <w:bCs/>
          <w:color w:val="00A7FF"/>
          <w:sz w:val="32"/>
          <w:szCs w:val="32"/>
        </w:rPr>
        <w:t xml:space="preserve">Syndication Savings</w:t>
      </w:r>
    </w:p>
    <w:p>
      <w:pPr>
        <w:spacing w:after="120" w:before="0"/>
      </w:pPr>
      <w:r>
        <w:rPr>
          <w:color w:val="1F2937"/>
          <w:sz w:val="20"/>
          <w:szCs w:val="20"/>
        </w:rPr>
        <w:t xml:space="preserve">The syndication value of PXM. Any brand on more than two retail channels will feel this immediately.</w:t>
      </w:r>
    </w:p>
    <w:p>
      <w:pPr>
        <w:spacing w:after="80" w:before="200"/>
      </w:pPr>
      <w:r>
        <w:rPr>
          <w:b/>
          <w:bCs/>
          <w:color w:val="00A7FF"/>
          <w:sz w:val="22"/>
          <w:szCs w:val="22"/>
        </w:rPr>
        <w:t xml:space="preserve">What It Is</w:t>
      </w:r>
    </w:p>
    <w:p>
      <w:pPr>
        <w:spacing w:after="120" w:before="0"/>
      </w:pPr>
      <w:r>
        <w:rPr>
          <w:color w:val="1F2937"/>
          <w:sz w:val="20"/>
          <w:szCs w:val="20"/>
        </w:rPr>
        <w:t xml:space="preserve">One update to PXM automatically pushes content to every connected retailer and marketplace. This section models the manual push labor that disappears when you're no longer reformatting and resubmitting the same content to every destination, every time something changes. Pattern's platform currently syndicates to 13 distinct channels.</w:t>
      </w:r>
    </w:p>
    <w:p>
      <w:pPr>
        <w:spacing w:after="80" w:before="200"/>
      </w:pPr>
      <w:r>
        <w:rPr>
          <w:b/>
          <w:bCs/>
          <w:color w:val="00A7FF"/>
          <w:sz w:val="22"/>
          <w:szCs w:val="22"/>
        </w:rPr>
        <w:t xml:space="preserve">Why You Bring It In</w:t>
      </w:r>
    </w:p>
    <w:p>
      <w:pPr>
        <w:spacing w:after="120" w:before="0"/>
      </w:pPr>
      <w:r>
        <w:rPr>
          <w:color w:val="1F2937"/>
          <w:sz w:val="20"/>
          <w:szCs w:val="20"/>
        </w:rPr>
        <w:t xml:space="preserve">Amazon has different image specs than Walmart. Target has different copy length requirements than a DTC site. Without PXM, someone is manually reformatting and resubmitting for every channel, every time. Most teams have never added this up — the discovery conversation does it with them in real time.</w:t>
      </w:r>
    </w:p>
    <w:p>
      <w:pPr>
        <w:spacing w:after="80" w:before="200"/>
      </w:pPr>
      <w:r>
        <w:rPr>
          <w:b/>
          <w:bCs/>
          <w:color w:val="00A7FF"/>
          <w:sz w:val="22"/>
          <w:szCs w:val="22"/>
        </w:rPr>
        <w:t xml:space="preserve">Fields &amp; What to 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color="111827" w:val="solid"/>
            <w:tcMar>
              <w:top w:type="dxa" w:w="80"/>
              <w:left w:type="dxa" w:w="120"/>
              <w:bottom w:type="dxa" w:w="80"/>
              <w:right w:type="dxa" w:w="120"/>
            </w:tcMar>
          </w:tcPr>
          <w:p>
            <w:r>
              <w:rPr>
                <w:b/>
                <w:bCs/>
                <w:color w:val="FFFFFF"/>
                <w:sz w:val="18"/>
                <w:szCs w:val="18"/>
              </w:rPr>
              <w:t xml:space="preserve">Field</w:t>
            </w:r>
          </w:p>
        </w:tc>
        <w:tc>
          <w:tcPr>
            <w:tcW w:type="pct" w:w="44%"/>
            <w:shd w:color="111827" w:val="solid"/>
            <w:tcMar>
              <w:top w:type="dxa" w:w="80"/>
              <w:left w:type="dxa" w:w="120"/>
              <w:bottom w:type="dxa" w:w="80"/>
              <w:right w:type="dxa" w:w="120"/>
            </w:tcMar>
          </w:tcPr>
          <w:p>
            <w:r>
              <w:rPr>
                <w:b/>
                <w:bCs/>
                <w:color w:val="FFFFFF"/>
                <w:sz w:val="18"/>
                <w:szCs w:val="18"/>
              </w:rPr>
              <w:t xml:space="preserve">Plain-English Question to Ask</w:t>
            </w:r>
          </w:p>
        </w:tc>
        <w:tc>
          <w:tcPr>
            <w:tcW w:type="pct" w:w="34%"/>
            <w:shd w:color="111827" w:val="solid"/>
            <w:tcMar>
              <w:top w:type="dxa" w:w="80"/>
              <w:left w:type="dxa" w:w="120"/>
              <w:bottom w:type="dxa" w:w="80"/>
              <w:right w:type="dxa" w:w="120"/>
            </w:tcMar>
          </w:tcPr>
          <w:p>
            <w:r>
              <w:rPr>
                <w:b/>
                <w:bCs/>
                <w:color w:val="FFFFFF"/>
                <w:sz w:val="18"/>
                <w:szCs w:val="18"/>
              </w:rPr>
              <w:t xml:space="preserve">Typical Starting Point</w:t>
            </w:r>
          </w:p>
        </w:tc>
      </w:tr>
      <w:tr>
        <w:tc>
          <w:tcPr>
            <w:tcW w:type="pct" w:w="22%"/>
            <w:shd w:color="F9FAFB" w:val="solid"/>
            <w:tcMar>
              <w:top w:type="dxa" w:w="80"/>
              <w:left w:type="dxa" w:w="120"/>
              <w:bottom w:type="dxa" w:w="80"/>
              <w:right w:type="dxa" w:w="120"/>
            </w:tcMar>
          </w:tcPr>
          <w:p>
            <w:r>
              <w:rPr>
                <w:b/>
                <w:bCs/>
                <w:color w:val="0A0F1E"/>
                <w:sz w:val="18"/>
                <w:szCs w:val="18"/>
              </w:rPr>
              <w:t xml:space="preserve">Products being syndicated</w:t>
            </w:r>
          </w:p>
        </w:tc>
        <w:tc>
          <w:tcPr>
            <w:tcW w:type="pct" w:w="44%"/>
            <w:shd w:color="F9FAFB" w:val="solid"/>
            <w:tcMar>
              <w:top w:type="dxa" w:w="80"/>
              <w:left w:type="dxa" w:w="120"/>
              <w:bottom w:type="dxa" w:w="80"/>
              <w:right w:type="dxa" w:w="120"/>
            </w:tcMar>
          </w:tcPr>
          <w:p>
            <w:r>
              <w:rPr>
                <w:b w:val="false"/>
                <w:bCs w:val="false"/>
                <w:color w:val="374151"/>
                <w:sz w:val="18"/>
                <w:szCs w:val="18"/>
              </w:rPr>
              <w:t xml:space="preserve">How many products are you distributing across retail channels?</w:t>
            </w:r>
          </w:p>
        </w:tc>
        <w:tc>
          <w:tcPr>
            <w:tcW w:type="pct" w:w="34%"/>
            <w:shd w:color="F9FAFB" w:val="solid"/>
            <w:tcMar>
              <w:top w:type="dxa" w:w="80"/>
              <w:left w:type="dxa" w:w="120"/>
              <w:bottom w:type="dxa" w:w="80"/>
              <w:right w:type="dxa" w:w="120"/>
            </w:tcMar>
          </w:tcPr>
          <w:p>
            <w:r>
              <w:rPr>
                <w:b w:val="false"/>
                <w:bCs w:val="false"/>
                <w:color w:val="374151"/>
                <w:sz w:val="18"/>
                <w:szCs w:val="18"/>
              </w:rPr>
              <w:t xml:space="preserve">50–5,000</w:t>
            </w:r>
          </w:p>
        </w:tc>
      </w:tr>
      <w:tr>
        <w:tc>
          <w:tcPr>
            <w:tcW w:type="pct" w:w="22%"/>
            <w:shd w:color="FFFFFF" w:val="solid"/>
            <w:tcMar>
              <w:top w:type="dxa" w:w="80"/>
              <w:left w:type="dxa" w:w="120"/>
              <w:bottom w:type="dxa" w:w="80"/>
              <w:right w:type="dxa" w:w="120"/>
            </w:tcMar>
          </w:tcPr>
          <w:p>
            <w:r>
              <w:rPr>
                <w:b/>
                <w:bCs/>
                <w:color w:val="0A0F1E"/>
                <w:sz w:val="18"/>
                <w:szCs w:val="18"/>
              </w:rPr>
              <w:t xml:space="preserve">Number of retail channels</w:t>
            </w:r>
          </w:p>
        </w:tc>
        <w:tc>
          <w:tcPr>
            <w:tcW w:type="pct" w:w="44%"/>
            <w:shd w:color="FFFFFF" w:val="solid"/>
            <w:tcMar>
              <w:top w:type="dxa" w:w="80"/>
              <w:left w:type="dxa" w:w="120"/>
              <w:bottom w:type="dxa" w:w="80"/>
              <w:right w:type="dxa" w:w="120"/>
            </w:tcMar>
          </w:tcPr>
          <w:p>
            <w:r>
              <w:rPr>
                <w:b w:val="false"/>
                <w:bCs w:val="false"/>
                <w:color w:val="374151"/>
                <w:sz w:val="18"/>
                <w:szCs w:val="18"/>
              </w:rPr>
              <w:t xml:space="preserve">How many distinct destinations receive your content — Amazon, Walmart, Target, your site, etc.?</w:t>
            </w:r>
          </w:p>
        </w:tc>
        <w:tc>
          <w:tcPr>
            <w:tcW w:type="pct" w:w="34%"/>
            <w:shd w:color="FFFFFF" w:val="solid"/>
            <w:tcMar>
              <w:top w:type="dxa" w:w="80"/>
              <w:left w:type="dxa" w:w="120"/>
              <w:bottom w:type="dxa" w:w="80"/>
              <w:right w:type="dxa" w:w="120"/>
            </w:tcMar>
          </w:tcPr>
          <w:p>
            <w:r>
              <w:rPr>
                <w:b w:val="false"/>
                <w:bCs w:val="false"/>
                <w:color w:val="374151"/>
                <w:sz w:val="18"/>
                <w:szCs w:val="18"/>
              </w:rPr>
              <w:t xml:space="preserve">2–13 channels; Pattern syndicates to 13+</w:t>
            </w:r>
          </w:p>
        </w:tc>
      </w:tr>
      <w:tr>
        <w:tc>
          <w:tcPr>
            <w:tcW w:type="pct" w:w="22%"/>
            <w:shd w:color="F9FAFB" w:val="solid"/>
            <w:tcMar>
              <w:top w:type="dxa" w:w="80"/>
              <w:left w:type="dxa" w:w="120"/>
              <w:bottom w:type="dxa" w:w="80"/>
              <w:right w:type="dxa" w:w="120"/>
            </w:tcMar>
          </w:tcPr>
          <w:p>
            <w:r>
              <w:rPr>
                <w:b/>
                <w:bCs/>
                <w:color w:val="0A0F1E"/>
                <w:sz w:val="18"/>
                <w:szCs w:val="18"/>
              </w:rPr>
              <w:t xml:space="preserve">Content updates / product / year</w:t>
            </w:r>
          </w:p>
        </w:tc>
        <w:tc>
          <w:tcPr>
            <w:tcW w:type="pct" w:w="44%"/>
            <w:shd w:color="F9FAFB" w:val="solid"/>
            <w:tcMar>
              <w:top w:type="dxa" w:w="80"/>
              <w:left w:type="dxa" w:w="120"/>
              <w:bottom w:type="dxa" w:w="80"/>
              <w:right w:type="dxa" w:w="120"/>
            </w:tcMar>
          </w:tcPr>
          <w:p>
            <w:r>
              <w:rPr>
                <w:b w:val="false"/>
                <w:bCs w:val="false"/>
                <w:color w:val="374151"/>
                <w:sz w:val="18"/>
                <w:szCs w:val="18"/>
              </w:rPr>
              <w:t xml:space="preserve">When content changes — seasonally, pricing, copy — how many times a year per product?</w:t>
            </w:r>
          </w:p>
        </w:tc>
        <w:tc>
          <w:tcPr>
            <w:tcW w:type="pct" w:w="34%"/>
            <w:shd w:color="F9FAFB" w:val="solid"/>
            <w:tcMar>
              <w:top w:type="dxa" w:w="80"/>
              <w:left w:type="dxa" w:w="120"/>
              <w:bottom w:type="dxa" w:w="80"/>
              <w:right w:type="dxa" w:w="120"/>
            </w:tcMar>
          </w:tcPr>
          <w:p>
            <w:r>
              <w:rPr>
                <w:b w:val="false"/>
                <w:bCs w:val="false"/>
                <w:color w:val="374151"/>
                <w:sz w:val="18"/>
                <w:szCs w:val="18"/>
              </w:rPr>
              <w:t xml:space="preserve">2–6×</w:t>
            </w:r>
          </w:p>
        </w:tc>
      </w:tr>
      <w:tr>
        <w:tc>
          <w:tcPr>
            <w:tcW w:type="pct" w:w="22%"/>
            <w:shd w:color="FFFFFF" w:val="solid"/>
            <w:tcMar>
              <w:top w:type="dxa" w:w="80"/>
              <w:left w:type="dxa" w:w="120"/>
              <w:bottom w:type="dxa" w:w="80"/>
              <w:right w:type="dxa" w:w="120"/>
            </w:tcMar>
          </w:tcPr>
          <w:p>
            <w:r>
              <w:rPr>
                <w:b/>
                <w:bCs/>
                <w:color w:val="0A0F1E"/>
                <w:sz w:val="18"/>
                <w:szCs w:val="18"/>
              </w:rPr>
              <w:t xml:space="preserve">Minutes to update one product at one retailer</w:t>
            </w:r>
          </w:p>
        </w:tc>
        <w:tc>
          <w:tcPr>
            <w:tcW w:type="pct" w:w="44%"/>
            <w:shd w:color="FFFFFF" w:val="solid"/>
            <w:tcMar>
              <w:top w:type="dxa" w:w="80"/>
              <w:left w:type="dxa" w:w="120"/>
              <w:bottom w:type="dxa" w:w="80"/>
              <w:right w:type="dxa" w:w="120"/>
            </w:tcMar>
          </w:tcPr>
          <w:p>
            <w:r>
              <w:rPr>
                <w:b w:val="false"/>
                <w:bCs w:val="false"/>
                <w:color w:val="374151"/>
                <w:sz w:val="18"/>
                <w:szCs w:val="18"/>
              </w:rPr>
              <w:t xml:space="preserve">How long does it take to copy, reformat, and submit to one retailer today?</w:t>
            </w:r>
          </w:p>
        </w:tc>
        <w:tc>
          <w:tcPr>
            <w:tcW w:type="pct" w:w="34%"/>
            <w:shd w:color="FFFFFF" w:val="solid"/>
            <w:tcMar>
              <w:top w:type="dxa" w:w="80"/>
              <w:left w:type="dxa" w:w="120"/>
              <w:bottom w:type="dxa" w:w="80"/>
              <w:right w:type="dxa" w:w="120"/>
            </w:tcMar>
          </w:tcPr>
          <w:p>
            <w:r>
              <w:rPr>
                <w:b w:val="false"/>
                <w:bCs w:val="false"/>
                <w:color w:val="374151"/>
                <w:sz w:val="18"/>
                <w:szCs w:val="18"/>
              </w:rPr>
              <w:t xml:space="preserve">10–20 min routine; 30–45 min first-time</w:t>
            </w:r>
          </w:p>
        </w:tc>
      </w:tr>
      <w:tr>
        <w:tc>
          <w:tcPr>
            <w:tcW w:type="pct" w:w="22%"/>
            <w:shd w:color="F9FAFB" w:val="solid"/>
            <w:tcMar>
              <w:top w:type="dxa" w:w="80"/>
              <w:left w:type="dxa" w:w="120"/>
              <w:bottom w:type="dxa" w:w="80"/>
              <w:right w:type="dxa" w:w="120"/>
            </w:tcMar>
          </w:tcPr>
          <w:p>
            <w:r>
              <w:rPr>
                <w:b/>
                <w:bCs/>
                <w:color w:val="0A0F1E"/>
                <w:sz w:val="18"/>
                <w:szCs w:val="18"/>
              </w:rPr>
              <w:t xml:space="preserve">How much does PXM eliminate</w:t>
            </w:r>
          </w:p>
        </w:tc>
        <w:tc>
          <w:tcPr>
            <w:tcW w:type="pct" w:w="44%"/>
            <w:shd w:color="F9FAFB" w:val="solid"/>
            <w:tcMar>
              <w:top w:type="dxa" w:w="80"/>
              <w:left w:type="dxa" w:w="120"/>
              <w:bottom w:type="dxa" w:w="80"/>
              <w:right w:type="dxa" w:w="120"/>
            </w:tcMar>
          </w:tcPr>
          <w:p>
            <w:r>
              <w:rPr>
                <w:b w:val="false"/>
                <w:bCs w:val="false"/>
                <w:color w:val="374151"/>
                <w:sz w:val="18"/>
                <w:szCs w:val="18"/>
              </w:rPr>
              <w:t xml:space="preserve">Once PXM auto-syndicates, what % of that manual push work goes away?</w:t>
            </w:r>
          </w:p>
        </w:tc>
        <w:tc>
          <w:tcPr>
            <w:tcW w:type="pct" w:w="34%"/>
            <w:shd w:color="F9FAFB" w:val="solid"/>
            <w:tcMar>
              <w:top w:type="dxa" w:w="80"/>
              <w:left w:type="dxa" w:w="120"/>
              <w:bottom w:type="dxa" w:w="80"/>
              <w:right w:type="dxa" w:w="120"/>
            </w:tcMar>
          </w:tcPr>
          <w:p>
            <w:r>
              <w:rPr>
                <w:b w:val="false"/>
                <w:bCs w:val="false"/>
                <w:color w:val="374151"/>
                <w:sz w:val="18"/>
                <w:szCs w:val="18"/>
              </w:rPr>
              <w:t xml:space="preserve">70–90% is typical</w:t>
            </w:r>
          </w:p>
        </w:tc>
      </w:tr>
    </w:tbl>
    <w:p>
      <w:pPr>
        <w:spacing w:after="0" w:before="80"/>
      </w:pPr>
    </w:p>
    <w:p>
      <w:pPr>
        <w:spacing w:after="80" w:before="200"/>
      </w:pPr>
      <w:r>
        <w:rPr>
          <w:b/>
          <w:bCs/>
          <w:color w:val="00A7FF"/>
          <w:sz w:val="22"/>
          <w:szCs w:val="22"/>
        </w:rPr>
        <w:t xml:space="preserve">The Math</w:t>
      </w:r>
    </w:p>
    <w:p>
      <w:pPr>
        <w:pBdr>
          <w:left w:val="thick" w:color="00A7FF" w:sz="12"/>
        </w:pBdr>
        <w:shd w:color="F0F4FF" w:val="solid"/>
        <w:spacing w:after="0" w:before="120"/>
        <w:ind w:left="200"/>
      </w:pPr>
      <w:r>
        <w:rPr>
          <w:b/>
          <w:bCs/>
          <w:color w:val="0A0F1E"/>
          <w:sz w:val="18"/>
          <w:szCs w:val="18"/>
        </w:rPr>
        <w:t xml:space="preserve">Manual pushes per year</w:t>
      </w:r>
    </w:p>
    <w:p>
      <w:pPr>
        <w:pBdr>
          <w:left w:val="thick" w:color="00A7FF" w:sz="12"/>
        </w:pBdr>
        <w:shd w:color="F0F4FF" w:val="solid"/>
        <w:spacing w:after="160" w:before="0"/>
        <w:ind w:left="200"/>
      </w:pPr>
      <w:r>
        <w:rPr>
          <w:rFonts w:ascii="Courier New" w:cs="Courier New" w:eastAsia="Courier New" w:hAnsi="Courier New"/>
          <w:color w:val="0055AA"/>
          <w:sz w:val="18"/>
          <w:szCs w:val="18"/>
        </w:rPr>
        <w:t xml:space="preserve">products  ×  channels  ×  updates/year</w:t>
      </w:r>
    </w:p>
    <w:p>
      <w:pPr>
        <w:pBdr>
          <w:left w:val="thick" w:color="00A7FF" w:sz="12"/>
        </w:pBdr>
        <w:shd w:color="F0F4FF" w:val="solid"/>
        <w:spacing w:after="0" w:before="120"/>
        <w:ind w:left="200"/>
      </w:pPr>
      <w:r>
        <w:rPr>
          <w:b/>
          <w:bCs/>
          <w:color w:val="0A0F1E"/>
          <w:sz w:val="18"/>
          <w:szCs w:val="18"/>
        </w:rPr>
        <w:t xml:space="preserve">Hours eliminated</w:t>
      </w:r>
    </w:p>
    <w:p>
      <w:pPr>
        <w:pBdr>
          <w:left w:val="thick" w:color="00A7FF" w:sz="12"/>
        </w:pBdr>
        <w:shd w:color="F0F4FF" w:val="solid"/>
        <w:spacing w:after="160" w:before="0"/>
        <w:ind w:left="200"/>
      </w:pPr>
      <w:r>
        <w:rPr>
          <w:rFonts w:ascii="Courier New" w:cs="Courier New" w:eastAsia="Courier New" w:hAnsi="Courier New"/>
          <w:color w:val="0055AA"/>
          <w:sz w:val="18"/>
          <w:szCs w:val="18"/>
        </w:rPr>
        <w:t xml:space="preserve">manual pushes  ×  minutes/push  ×  automation%  ÷  60</w:t>
      </w:r>
    </w:p>
    <w:p>
      <w:pPr>
        <w:pBdr>
          <w:left w:val="thick" w:color="00A7FF" w:sz="12"/>
        </w:pBdr>
        <w:shd w:color="F0F4FF" w:val="solid"/>
        <w:spacing w:after="0" w:before="120"/>
        <w:ind w:left="200"/>
      </w:pPr>
      <w:r>
        <w:rPr>
          <w:b/>
          <w:bCs/>
          <w:color w:val="0A0F1E"/>
          <w:sz w:val="18"/>
          <w:szCs w:val="18"/>
        </w:rPr>
        <w:t xml:space="preserve">Syndication savings (scenario-adjusted)</w:t>
      </w:r>
    </w:p>
    <w:p>
      <w:pPr>
        <w:pBdr>
          <w:left w:val="thick" w:color="00A7FF" w:sz="12"/>
        </w:pBdr>
        <w:shd w:color="F0F4FF" w:val="solid"/>
        <w:spacing w:after="160" w:before="0"/>
        <w:ind w:left="200"/>
      </w:pPr>
      <w:r>
        <w:rPr>
          <w:rFonts w:ascii="Courier New" w:cs="Courier New" w:eastAsia="Courier New" w:hAnsi="Courier New"/>
          <w:color w:val="0055AA"/>
          <w:sz w:val="18"/>
          <w:szCs w:val="18"/>
        </w:rPr>
        <w:t xml:space="preserve">hours eliminated  ×  hourly rate  ×  scenario factor</w:t>
      </w:r>
    </w:p>
    <w:p>
      <w:pPr>
        <w:spacing w:after="80" w:before="200"/>
      </w:pPr>
      <w:r>
        <w:rPr>
          <w:b/>
          <w:bCs/>
          <w:color w:val="00A7FF"/>
          <w:sz w:val="22"/>
          <w:szCs w:val="22"/>
        </w:rPr>
        <w:t xml:space="preserve">How to Talk About It</w:t>
      </w:r>
    </w:p>
    <w:p>
      <w:pPr>
        <w:pStyle w:val="ListParagraph"/>
        <w:numPr>
          <w:ilvl w:val="0"/>
          <w:numId w:val="1"/>
        </w:numPr>
        <w:spacing w:after="40" w:before="40"/>
      </w:pPr>
      <w:r>
        <w:rPr>
          <w:color w:val="1F2937"/>
          <w:sz w:val="20"/>
          <w:szCs w:val="20"/>
        </w:rPr>
        <w:t xml:space="preserve">"One update in PXM goes everywhere. The math here is: how many manual pushes per year, times how long each one takes."</w:t>
      </w:r>
    </w:p>
    <w:p>
      <w:pPr>
        <w:pStyle w:val="ListParagraph"/>
        <w:numPr>
          <w:ilvl w:val="0"/>
          <w:numId w:val="1"/>
        </w:numPr>
        <w:spacing w:after="40" w:before="40"/>
      </w:pPr>
      <w:r>
        <w:rPr>
          <w:color w:val="1F2937"/>
          <w:sz w:val="20"/>
          <w:szCs w:val="20"/>
        </w:rPr>
        <w:t xml:space="preserve">"When you change a product image or update seasonal copy, how do you get that live on Amazon, Walmart, and Target today?" — The answer reveals the scale of the problem."</w:t>
      </w:r>
    </w:p>
    <w:p>
      <w:pPr>
        <w:pStyle w:val="ListParagraph"/>
        <w:numPr>
          <w:ilvl w:val="0"/>
          <w:numId w:val="1"/>
        </w:numPr>
        <w:spacing w:after="40" w:before="40"/>
      </w:pPr>
      <w:r>
        <w:rPr>
          <w:color w:val="1F2937"/>
          <w:sz w:val="20"/>
          <w:szCs w:val="20"/>
        </w:rPr>
        <w:t xml:space="preserve">Most customers adjust the automation % down themselves once they think about it — which actually builds more trust than inflating it.</w:t>
      </w:r>
    </w:p>
    <w:p>
      <w:pPr>
        <w:pBdr>
          <w:left w:val="thick" w:color="F59E0B" w:sz="12"/>
        </w:pBdr>
        <w:shd w:color="FFF8E1" w:val="solid"/>
        <w:spacing w:after="0" w:before="160"/>
        <w:ind w:left="200"/>
      </w:pPr>
      <w:r>
        <w:rPr>
          <w:b/>
          <w:bCs/>
          <w:color w:val="0A0F1E"/>
          <w:sz w:val="18"/>
          <w:szCs w:val="18"/>
        </w:rPr>
        <w:t xml:space="preserve">Scenario example  </w:t>
      </w:r>
    </w:p>
    <w:p>
      <w:pPr>
        <w:pBdr>
          <w:left w:val="thick" w:color="F59E0B" w:sz="12"/>
        </w:pBdr>
        <w:shd w:color="FFF8E1" w:val="solid"/>
        <w:spacing w:after="160" w:before="0"/>
        <w:ind w:left="200"/>
      </w:pPr>
      <w:r>
        <w:rPr>
          <w:color w:val="1F2937"/>
          <w:sz w:val="18"/>
          <w:szCs w:val="18"/>
        </w:rPr>
        <w:t xml:space="preserve">250 products, 5 channels, 4 updates/year, 15 min/push, 80% automated, $50/hr. Pushes: 5,000/yr. Hours eliminated: 5,000 × 15 × 0.80 ÷ 60 = 1,000 hrs. Conservative (0.7×): $35,000. Expected (1.0×): $50,000. Upside (1.3×): $65,000.</w:t>
      </w:r>
    </w:p>
    <w:p>
      <w:pPr>
        <w:pBdr>
          <w:bottom w:val="single" w:color="E5E7EB" w:sz="6"/>
        </w:pBdr>
        <w:spacing w:after="240" w:before="240"/>
      </w:pPr>
    </w:p>
    <w:p>
      <w:pPr>
        <w:spacing w:after="60" w:before="240"/>
      </w:pPr>
      <w:r>
        <w:rPr>
          <w:b/>
          <w:bCs/>
          <w:caps/>
          <w:color w:val="00A7FF"/>
          <w:sz w:val="16"/>
          <w:szCs w:val="16"/>
        </w:rPr>
        <w:t xml:space="preserve">Section 04</w:t>
      </w:r>
    </w:p>
    <w:p>
      <w:pPr>
        <w:pStyle w:val="Heading2"/>
        <w:spacing w:after="100" w:before="280"/>
      </w:pPr>
      <w:r>
        <w:rPr>
          <w:b/>
          <w:bCs/>
          <w:color w:val="00A7FF"/>
          <w:sz w:val="32"/>
          <w:szCs w:val="32"/>
        </w:rPr>
        <w:t xml:space="preserve">Tool Consolidation</w:t>
      </w:r>
    </w:p>
    <w:p>
      <w:pPr>
        <w:spacing w:after="120" w:before="0"/>
      </w:pPr>
      <w:r>
        <w:rPr>
          <w:color w:val="1F2937"/>
          <w:sz w:val="20"/>
          <w:szCs w:val="20"/>
        </w:rPr>
        <w:t xml:space="preserve">Direct cost displacement. The most defensible lever in the entire calculator.</w:t>
      </w:r>
    </w:p>
    <w:p>
      <w:pPr>
        <w:spacing w:after="80" w:before="200"/>
      </w:pPr>
      <w:r>
        <w:rPr>
          <w:b/>
          <w:bCs/>
          <w:color w:val="00A7FF"/>
          <w:sz w:val="22"/>
          <w:szCs w:val="22"/>
        </w:rPr>
        <w:t xml:space="preserve">What It Is</w:t>
      </w:r>
    </w:p>
    <w:p>
      <w:pPr>
        <w:spacing w:after="120" w:before="0"/>
      </w:pPr>
      <w:r>
        <w:rPr>
          <w:color w:val="1F2937"/>
          <w:sz w:val="20"/>
          <w:szCs w:val="20"/>
        </w:rPr>
        <w:t xml:space="preserve">PXM is PIM + DAM + Syndication in a single platform. This section captures what the brand currently pays for those capabilities separately. Unlike every other section, this requires no estimates, no benchmarks, and no scenario adjustment. It is a direct invoice swap.</w:t>
      </w:r>
    </w:p>
    <w:p>
      <w:pPr>
        <w:spacing w:after="80" w:before="200"/>
      </w:pPr>
      <w:r>
        <w:rPr>
          <w:b/>
          <w:bCs/>
          <w:color w:val="00A7FF"/>
          <w:sz w:val="22"/>
          <w:szCs w:val="22"/>
        </w:rPr>
        <w:t xml:space="preserve">Why You Bring It In</w:t>
      </w:r>
    </w:p>
    <w:p>
      <w:pPr>
        <w:spacing w:after="120" w:before="0"/>
      </w:pPr>
      <w:r>
        <w:rPr>
          <w:color w:val="1F2937"/>
          <w:sz w:val="20"/>
          <w:szCs w:val="20"/>
        </w:rPr>
        <w:t xml:space="preserve">If a brand is paying $40K/year for Salsify and they switch to PXM, they save $40K — regardless of adoption speed or team behavior. This is the floor of PXM's value before a single hour of savings is modeled. In a budget conversation, this is the number that gets the CFO's attention.</w:t>
      </w:r>
    </w:p>
    <w:p>
      <w:pPr>
        <w:spacing w:after="80" w:before="200"/>
      </w:pPr>
      <w:r>
        <w:rPr>
          <w:b/>
          <w:bCs/>
          <w:color w:val="00A7FF"/>
          <w:sz w:val="22"/>
          <w:szCs w:val="22"/>
        </w:rPr>
        <w:t xml:space="preserve">Fields &amp; What to 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shd w:color="111827" w:val="solid"/>
            <w:tcMar>
              <w:top w:type="dxa" w:w="80"/>
              <w:left w:type="dxa" w:w="120"/>
              <w:bottom w:type="dxa" w:w="80"/>
              <w:right w:type="dxa" w:w="120"/>
            </w:tcMar>
          </w:tcPr>
          <w:p>
            <w:r>
              <w:rPr>
                <w:b/>
                <w:bCs/>
                <w:color w:val="FFFFFF"/>
                <w:sz w:val="18"/>
                <w:szCs w:val="18"/>
              </w:rPr>
              <w:t xml:space="preserve">Field</w:t>
            </w:r>
          </w:p>
        </w:tc>
        <w:tc>
          <w:tcPr>
            <w:tcW w:type="pct" w:w="42%"/>
            <w:shd w:color="111827" w:val="solid"/>
            <w:tcMar>
              <w:top w:type="dxa" w:w="80"/>
              <w:left w:type="dxa" w:w="120"/>
              <w:bottom w:type="dxa" w:w="80"/>
              <w:right w:type="dxa" w:w="120"/>
            </w:tcMar>
          </w:tcPr>
          <w:p>
            <w:r>
              <w:rPr>
                <w:b/>
                <w:bCs/>
                <w:color w:val="FFFFFF"/>
                <w:sz w:val="18"/>
                <w:szCs w:val="18"/>
              </w:rPr>
              <w:t xml:space="preserve">Tools Being Replaced</w:t>
            </w:r>
          </w:p>
        </w:tc>
        <w:tc>
          <w:tcPr>
            <w:tcW w:type="pct" w:w="30%"/>
            <w:shd w:color="111827" w:val="solid"/>
            <w:tcMar>
              <w:top w:type="dxa" w:w="80"/>
              <w:left w:type="dxa" w:w="120"/>
              <w:bottom w:type="dxa" w:w="80"/>
              <w:right w:type="dxa" w:w="120"/>
            </w:tcMar>
          </w:tcPr>
          <w:p>
            <w:r>
              <w:rPr>
                <w:b/>
                <w:bCs/>
                <w:color w:val="FFFFFF"/>
                <w:sz w:val="18"/>
                <w:szCs w:val="18"/>
              </w:rPr>
              <w:t xml:space="preserve">Typical Annual Cost</w:t>
            </w:r>
          </w:p>
        </w:tc>
      </w:tr>
      <w:tr>
        <w:tc>
          <w:tcPr>
            <w:tcW w:type="pct" w:w="28%"/>
            <w:shd w:color="F9FAFB" w:val="solid"/>
            <w:tcMar>
              <w:top w:type="dxa" w:w="80"/>
              <w:left w:type="dxa" w:w="120"/>
              <w:bottom w:type="dxa" w:w="80"/>
              <w:right w:type="dxa" w:w="120"/>
            </w:tcMar>
          </w:tcPr>
          <w:p>
            <w:r>
              <w:rPr>
                <w:b/>
                <w:bCs/>
                <w:color w:val="0A0F1E"/>
                <w:sz w:val="18"/>
                <w:szCs w:val="18"/>
              </w:rPr>
              <w:t xml:space="preserve">Current PIM tool cost</w:t>
            </w:r>
          </w:p>
        </w:tc>
        <w:tc>
          <w:tcPr>
            <w:tcW w:type="pct" w:w="42%"/>
            <w:shd w:color="F9FAFB" w:val="solid"/>
            <w:tcMar>
              <w:top w:type="dxa" w:w="80"/>
              <w:left w:type="dxa" w:w="120"/>
              <w:bottom w:type="dxa" w:w="80"/>
              <w:right w:type="dxa" w:w="120"/>
            </w:tcMar>
          </w:tcPr>
          <w:p>
            <w:r>
              <w:rPr>
                <w:b w:val="false"/>
                <w:bCs w:val="false"/>
                <w:color w:val="374151"/>
                <w:sz w:val="18"/>
                <w:szCs w:val="18"/>
              </w:rPr>
              <w:t xml:space="preserve">Salsify, Akeneo, inRiver, Plytix</w:t>
            </w:r>
          </w:p>
        </w:tc>
        <w:tc>
          <w:tcPr>
            <w:tcW w:type="pct" w:w="30%"/>
            <w:shd w:color="F9FAFB" w:val="solid"/>
            <w:tcMar>
              <w:top w:type="dxa" w:w="80"/>
              <w:left w:type="dxa" w:w="120"/>
              <w:bottom w:type="dxa" w:w="80"/>
              <w:right w:type="dxa" w:w="120"/>
            </w:tcMar>
          </w:tcPr>
          <w:p>
            <w:r>
              <w:rPr>
                <w:b w:val="false"/>
                <w:bCs w:val="false"/>
                <w:color w:val="374151"/>
                <w:sz w:val="18"/>
                <w:szCs w:val="18"/>
              </w:rPr>
              <w:t xml:space="preserve">$15,000–$100,000+</w:t>
            </w:r>
          </w:p>
        </w:tc>
      </w:tr>
      <w:tr>
        <w:tc>
          <w:tcPr>
            <w:tcW w:type="pct" w:w="28%"/>
            <w:shd w:color="FFFFFF" w:val="solid"/>
            <w:tcMar>
              <w:top w:type="dxa" w:w="80"/>
              <w:left w:type="dxa" w:w="120"/>
              <w:bottom w:type="dxa" w:w="80"/>
              <w:right w:type="dxa" w:w="120"/>
            </w:tcMar>
          </w:tcPr>
          <w:p>
            <w:r>
              <w:rPr>
                <w:b/>
                <w:bCs/>
                <w:color w:val="0A0F1E"/>
                <w:sz w:val="18"/>
                <w:szCs w:val="18"/>
              </w:rPr>
              <w:t xml:space="preserve">Current DAM tool cost</w:t>
            </w:r>
          </w:p>
        </w:tc>
        <w:tc>
          <w:tcPr>
            <w:tcW w:type="pct" w:w="42%"/>
            <w:shd w:color="FFFFFF" w:val="solid"/>
            <w:tcMar>
              <w:top w:type="dxa" w:w="80"/>
              <w:left w:type="dxa" w:w="120"/>
              <w:bottom w:type="dxa" w:w="80"/>
              <w:right w:type="dxa" w:w="120"/>
            </w:tcMar>
          </w:tcPr>
          <w:p>
            <w:r>
              <w:rPr>
                <w:b w:val="false"/>
                <w:bCs w:val="false"/>
                <w:color w:val="374151"/>
                <w:sz w:val="18"/>
                <w:szCs w:val="18"/>
              </w:rPr>
              <w:t xml:space="preserve">Bynder, Widen (Acquia DAM), Brandfolder, Canto, Extensis</w:t>
            </w:r>
          </w:p>
        </w:tc>
        <w:tc>
          <w:tcPr>
            <w:tcW w:type="pct" w:w="30%"/>
            <w:shd w:color="FFFFFF" w:val="solid"/>
            <w:tcMar>
              <w:top w:type="dxa" w:w="80"/>
              <w:left w:type="dxa" w:w="120"/>
              <w:bottom w:type="dxa" w:w="80"/>
              <w:right w:type="dxa" w:w="120"/>
            </w:tcMar>
          </w:tcPr>
          <w:p>
            <w:r>
              <w:rPr>
                <w:b w:val="false"/>
                <w:bCs w:val="false"/>
                <w:color w:val="374151"/>
                <w:sz w:val="18"/>
                <w:szCs w:val="18"/>
              </w:rPr>
              <w:t xml:space="preserve">$10,000–$75,000+</w:t>
            </w:r>
          </w:p>
        </w:tc>
      </w:tr>
      <w:tr>
        <w:tc>
          <w:tcPr>
            <w:tcW w:type="pct" w:w="28%"/>
            <w:shd w:color="F9FAFB" w:val="solid"/>
            <w:tcMar>
              <w:top w:type="dxa" w:w="80"/>
              <w:left w:type="dxa" w:w="120"/>
              <w:bottom w:type="dxa" w:w="80"/>
              <w:right w:type="dxa" w:w="120"/>
            </w:tcMar>
          </w:tcPr>
          <w:p>
            <w:r>
              <w:rPr>
                <w:b/>
                <w:bCs/>
                <w:color w:val="0A0F1E"/>
                <w:sz w:val="18"/>
                <w:szCs w:val="18"/>
              </w:rPr>
              <w:t xml:space="preserve">Current syndication tool cost</w:t>
            </w:r>
          </w:p>
        </w:tc>
        <w:tc>
          <w:tcPr>
            <w:tcW w:type="pct" w:w="42%"/>
            <w:shd w:color="F9FAFB" w:val="solid"/>
            <w:tcMar>
              <w:top w:type="dxa" w:w="80"/>
              <w:left w:type="dxa" w:w="120"/>
              <w:bottom w:type="dxa" w:w="80"/>
              <w:right w:type="dxa" w:w="120"/>
            </w:tcMar>
          </w:tcPr>
          <w:p>
            <w:r>
              <w:rPr>
                <w:b w:val="false"/>
                <w:bCs w:val="false"/>
                <w:color w:val="374151"/>
                <w:sz w:val="18"/>
                <w:szCs w:val="18"/>
              </w:rPr>
              <w:t xml:space="preserve">Syndigo, Feedonomics, ChannelAdvisor, Productsup</w:t>
            </w:r>
          </w:p>
        </w:tc>
        <w:tc>
          <w:tcPr>
            <w:tcW w:type="pct" w:w="30%"/>
            <w:shd w:color="F9FAFB" w:val="solid"/>
            <w:tcMar>
              <w:top w:type="dxa" w:w="80"/>
              <w:left w:type="dxa" w:w="120"/>
              <w:bottom w:type="dxa" w:w="80"/>
              <w:right w:type="dxa" w:w="120"/>
            </w:tcMar>
          </w:tcPr>
          <w:p>
            <w:r>
              <w:rPr>
                <w:b w:val="false"/>
                <w:bCs w:val="false"/>
                <w:color w:val="374151"/>
                <w:sz w:val="18"/>
                <w:szCs w:val="18"/>
              </w:rPr>
              <w:t xml:space="preserve">$10,000–$80,000+</w:t>
            </w:r>
          </w:p>
        </w:tc>
      </w:tr>
    </w:tbl>
    <w:p>
      <w:pPr>
        <w:spacing w:after="0" w:before="80"/>
      </w:pPr>
    </w:p>
    <w:p>
      <w:pPr>
        <w:spacing w:after="80" w:before="200"/>
      </w:pPr>
      <w:r>
        <w:rPr>
          <w:b/>
          <w:bCs/>
          <w:color w:val="00A7FF"/>
          <w:sz w:val="22"/>
          <w:szCs w:val="22"/>
        </w:rPr>
        <w:t xml:space="preserve">The Math</w:t>
      </w:r>
    </w:p>
    <w:p>
      <w:pPr>
        <w:pBdr>
          <w:left w:val="thick" w:color="00A7FF" w:sz="12"/>
        </w:pBdr>
        <w:shd w:color="F0F4FF" w:val="solid"/>
        <w:spacing w:after="0" w:before="120"/>
        <w:ind w:left="200"/>
      </w:pPr>
      <w:r>
        <w:rPr>
          <w:b/>
          <w:bCs/>
          <w:color w:val="0A0F1E"/>
          <w:sz w:val="18"/>
          <w:szCs w:val="18"/>
        </w:rPr>
        <w:t xml:space="preserve">Tool consolidation savings</w:t>
      </w:r>
    </w:p>
    <w:p>
      <w:pPr>
        <w:pBdr>
          <w:left w:val="thick" w:color="00A7FF" w:sz="12"/>
        </w:pBdr>
        <w:shd w:color="F0F4FF" w:val="solid"/>
        <w:spacing w:after="160" w:before="0"/>
        <w:ind w:left="200"/>
      </w:pPr>
      <w:r>
        <w:rPr>
          <w:rFonts w:ascii="Courier New" w:cs="Courier New" w:eastAsia="Courier New" w:hAnsi="Courier New"/>
          <w:color w:val="0055AA"/>
          <w:sz w:val="18"/>
          <w:szCs w:val="18"/>
        </w:rPr>
        <w:t xml:space="preserve">current PIM cost  +  current DAM cost  +  current syndication tool cost</w:t>
      </w:r>
    </w:p>
    <w:p>
      <w:pPr>
        <w:spacing w:after="120" w:before="0"/>
      </w:pPr>
      <w:r>
        <w:rPr>
          <w:color w:val="1F2937"/>
          <w:sz w:val="20"/>
          <w:szCs w:val="20"/>
        </w:rPr>
        <w:t xml:space="preserve">No scenario factor applied. This is not an estimate — it is a known, confirmed cost that disappears on day one of PXM.</w:t>
      </w:r>
    </w:p>
    <w:p>
      <w:pPr>
        <w:spacing w:after="80" w:before="200"/>
      </w:pPr>
      <w:r>
        <w:rPr>
          <w:b/>
          <w:bCs/>
          <w:color w:val="00A7FF"/>
          <w:sz w:val="22"/>
          <w:szCs w:val="22"/>
        </w:rPr>
        <w:t xml:space="preserve">How to Talk About It</w:t>
      </w:r>
    </w:p>
    <w:p>
      <w:pPr>
        <w:pStyle w:val="ListParagraph"/>
        <w:numPr>
          <w:ilvl w:val="0"/>
          <w:numId w:val="1"/>
        </w:numPr>
        <w:spacing w:after="40" w:before="40"/>
      </w:pPr>
      <w:r>
        <w:rPr>
          <w:color w:val="1F2937"/>
          <w:sz w:val="20"/>
          <w:szCs w:val="20"/>
        </w:rPr>
        <w:t xml:space="preserve">"This is the one number in the tool that doesn't need any assumptions. If you're paying for a separate PIM, DAM, or syndication tool, that cost is your floor — before we've modeled a single hour of savings."</w:t>
      </w:r>
    </w:p>
    <w:p>
      <w:pPr>
        <w:pStyle w:val="ListParagraph"/>
        <w:numPr>
          <w:ilvl w:val="0"/>
          <w:numId w:val="1"/>
        </w:numPr>
        <w:spacing w:after="40" w:before="40"/>
      </w:pPr>
      <w:r>
        <w:rPr>
          <w:color w:val="1F2937"/>
          <w:sz w:val="20"/>
          <w:szCs w:val="20"/>
        </w:rPr>
        <w:t xml:space="preserve">"What tools are you currently using for product data, digital assets, and content distribution? What do you pay for each?"</w:t>
      </w:r>
    </w:p>
    <w:p>
      <w:pPr>
        <w:pStyle w:val="ListParagraph"/>
        <w:numPr>
          <w:ilvl w:val="0"/>
          <w:numId w:val="1"/>
        </w:numPr>
        <w:spacing w:after="40" w:before="40"/>
      </w:pPr>
      <w:r>
        <w:rPr>
          <w:color w:val="1F2937"/>
          <w:sz w:val="20"/>
          <w:szCs w:val="20"/>
        </w:rPr>
        <w:t xml:space="preserve">If they don't know: "It's worth checking with your tech or finance team before our next call. This number will be your strongest input."</w:t>
      </w:r>
    </w:p>
    <w:p>
      <w:pPr>
        <w:pBdr>
          <w:left w:val="thick" w:color="F59E0B" w:sz="12"/>
        </w:pBdr>
        <w:shd w:color="FFF8E1" w:val="solid"/>
        <w:spacing w:after="0" w:before="160"/>
        <w:ind w:left="200"/>
      </w:pPr>
      <w:r>
        <w:rPr>
          <w:b/>
          <w:bCs/>
          <w:color w:val="0A0F1E"/>
          <w:sz w:val="18"/>
          <w:szCs w:val="18"/>
        </w:rPr>
        <w:t xml:space="preserve">Scenario example  </w:t>
      </w:r>
    </w:p>
    <w:p>
      <w:pPr>
        <w:pBdr>
          <w:left w:val="thick" w:color="F59E0B" w:sz="12"/>
        </w:pBdr>
        <w:shd w:color="FFF8E1" w:val="solid"/>
        <w:spacing w:after="160" w:before="0"/>
        <w:ind w:left="200"/>
      </w:pPr>
      <w:r>
        <w:rPr>
          <w:color w:val="1F2937"/>
          <w:sz w:val="18"/>
          <w:szCs w:val="18"/>
        </w:rPr>
        <w:t xml:space="preserve">Brand pays $35,000/year for Salsify (PIM) + $20,000/year for Bynder (DAM) + $18,000/year for Feedonomics (syndication). Tool consolidation savings = $73,000 — applied at 100% regardless of scenario selection. This appears in every scenario view at the same value.</w:t>
      </w:r>
    </w:p>
    <w:p>
      <w:r>
        <w:br w:type="page"/>
      </w:r>
    </w:p>
    <w:p>
      <w:pPr>
        <w:spacing w:after="60" w:before="240"/>
      </w:pPr>
      <w:r>
        <w:rPr>
          <w:b/>
          <w:bCs/>
          <w:caps/>
          <w:color w:val="00A7FF"/>
          <w:sz w:val="16"/>
          <w:szCs w:val="16"/>
        </w:rPr>
        <w:t xml:space="preserve">Section 05</w:t>
      </w:r>
    </w:p>
    <w:p>
      <w:pPr>
        <w:pStyle w:val="Heading2"/>
        <w:spacing w:after="100" w:before="280"/>
      </w:pPr>
      <w:r>
        <w:rPr>
          <w:b/>
          <w:bCs/>
          <w:color w:val="00A7FF"/>
          <w:sz w:val="32"/>
          <w:szCs w:val="32"/>
        </w:rPr>
        <w:t xml:space="preserve">Growth &amp; Investment</w:t>
      </w:r>
    </w:p>
    <w:p>
      <w:pPr>
        <w:spacing w:after="120" w:before="0"/>
      </w:pPr>
      <w:r>
        <w:rPr>
          <w:color w:val="1F2937"/>
          <w:sz w:val="20"/>
          <w:szCs w:val="20"/>
        </w:rPr>
        <w:t xml:space="preserve">Customer-owned revenue hypothesis. Present last, after the operational case is credible.</w:t>
      </w:r>
    </w:p>
    <w:p>
      <w:pPr>
        <w:spacing w:after="80" w:before="200"/>
      </w:pPr>
      <w:r>
        <w:rPr>
          <w:b/>
          <w:bCs/>
          <w:color w:val="00A7FF"/>
          <w:sz w:val="22"/>
          <w:szCs w:val="22"/>
        </w:rPr>
        <w:t xml:space="preserve">What It Is</w:t>
      </w:r>
    </w:p>
    <w:p>
      <w:pPr>
        <w:spacing w:after="120" w:before="0"/>
      </w:pPr>
      <w:r>
        <w:rPr>
          <w:color w:val="1F2937"/>
          <w:sz w:val="20"/>
          <w:szCs w:val="20"/>
        </w:rPr>
        <w:t xml:space="preserve">An optional estimate of revenue impact from better-performing content. Pattern-managed brands average an 81.56% content match score across their catalogs — better content visibility correlates with search ranking and conversion rate. The number in this section belongs to the prospect, not to Pattern.</w:t>
      </w:r>
    </w:p>
    <w:p>
      <w:pPr>
        <w:spacing w:after="80" w:before="200"/>
      </w:pPr>
      <w:r>
        <w:rPr>
          <w:b/>
          <w:bCs/>
          <w:color w:val="00A7FF"/>
          <w:sz w:val="22"/>
          <w:szCs w:val="22"/>
        </w:rPr>
        <w:t xml:space="preserve">Why You Bring It In</w:t>
      </w:r>
    </w:p>
    <w:p>
      <w:pPr>
        <w:spacing w:after="120" w:before="0"/>
      </w:pPr>
      <w:r>
        <w:rPr>
          <w:color w:val="1F2937"/>
          <w:sz w:val="20"/>
          <w:szCs w:val="20"/>
        </w:rPr>
        <w:t xml:space="preserve">Carefully. Lead with Sections 02–04 to establish the operational case first. Only introduce growth once the baseline stands on its own. Make explicit that this is the customer's hypothesis — Pattern is not making the promise.</w:t>
      </w:r>
    </w:p>
    <w:p>
      <w:pPr>
        <w:spacing w:after="80" w:before="200"/>
      </w:pPr>
      <w:r>
        <w:rPr>
          <w:b/>
          <w:bCs/>
          <w:color w:val="00A7FF"/>
          <w:sz w:val="22"/>
          <w:szCs w:val="22"/>
        </w:rPr>
        <w:t xml:space="preserve">Fields &amp; What to 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shd w:color="111827" w:val="solid"/>
            <w:tcMar>
              <w:top w:type="dxa" w:w="80"/>
              <w:left w:type="dxa" w:w="120"/>
              <w:bottom w:type="dxa" w:w="80"/>
              <w:right w:type="dxa" w:w="120"/>
            </w:tcMar>
          </w:tcPr>
          <w:p>
            <w:r>
              <w:rPr>
                <w:b/>
                <w:bCs/>
                <w:color w:val="FFFFFF"/>
                <w:sz w:val="18"/>
                <w:szCs w:val="18"/>
              </w:rPr>
              <w:t xml:space="preserve">Field</w:t>
            </w:r>
          </w:p>
        </w:tc>
        <w:tc>
          <w:tcPr>
            <w:tcW w:type="pct" w:w="42%"/>
            <w:shd w:color="111827" w:val="solid"/>
            <w:tcMar>
              <w:top w:type="dxa" w:w="80"/>
              <w:left w:type="dxa" w:w="120"/>
              <w:bottom w:type="dxa" w:w="80"/>
              <w:right w:type="dxa" w:w="120"/>
            </w:tcMar>
          </w:tcPr>
          <w:p>
            <w:r>
              <w:rPr>
                <w:b/>
                <w:bCs/>
                <w:color w:val="FFFFFF"/>
                <w:sz w:val="18"/>
                <w:szCs w:val="18"/>
              </w:rPr>
              <w:t xml:space="preserve">Plain-English Question to Ask</w:t>
            </w:r>
          </w:p>
        </w:tc>
        <w:tc>
          <w:tcPr>
            <w:tcW w:type="pct" w:w="34%"/>
            <w:shd w:color="111827" w:val="solid"/>
            <w:tcMar>
              <w:top w:type="dxa" w:w="80"/>
              <w:left w:type="dxa" w:w="120"/>
              <w:bottom w:type="dxa" w:w="80"/>
              <w:right w:type="dxa" w:w="120"/>
            </w:tcMar>
          </w:tcPr>
          <w:p>
            <w:r>
              <w:rPr>
                <w:b/>
                <w:bCs/>
                <w:color w:val="FFFFFF"/>
                <w:sz w:val="18"/>
                <w:szCs w:val="18"/>
              </w:rPr>
              <w:t xml:space="preserve">Guidance</w:t>
            </w:r>
          </w:p>
        </w:tc>
      </w:tr>
      <w:tr>
        <w:tc>
          <w:tcPr>
            <w:tcW w:type="pct" w:w="24%"/>
            <w:shd w:color="F9FAFB" w:val="solid"/>
            <w:tcMar>
              <w:top w:type="dxa" w:w="80"/>
              <w:left w:type="dxa" w:w="120"/>
              <w:bottom w:type="dxa" w:w="80"/>
              <w:right w:type="dxa" w:w="120"/>
            </w:tcMar>
          </w:tcPr>
          <w:p>
            <w:r>
              <w:rPr>
                <w:b/>
                <w:bCs/>
                <w:color w:val="0A0F1E"/>
                <w:sz w:val="18"/>
                <w:szCs w:val="18"/>
              </w:rPr>
              <w:t xml:space="preserve">Annual revenue in scope</w:t>
            </w:r>
          </w:p>
        </w:tc>
        <w:tc>
          <w:tcPr>
            <w:tcW w:type="pct" w:w="42%"/>
            <w:shd w:color="F9FAFB" w:val="solid"/>
            <w:tcMar>
              <w:top w:type="dxa" w:w="80"/>
              <w:left w:type="dxa" w:w="120"/>
              <w:bottom w:type="dxa" w:w="80"/>
              <w:right w:type="dxa" w:w="120"/>
            </w:tcMar>
          </w:tcPr>
          <w:p>
            <w:r>
              <w:rPr>
                <w:b w:val="false"/>
                <w:bCs w:val="false"/>
                <w:color w:val="374151"/>
                <w:sz w:val="18"/>
                <w:szCs w:val="18"/>
              </w:rPr>
              <w:t xml:space="preserve">What is the annual revenue base that better-performing content could impact?</w:t>
            </w:r>
          </w:p>
        </w:tc>
        <w:tc>
          <w:tcPr>
            <w:tcW w:type="pct" w:w="34%"/>
            <w:shd w:color="F9FAFB" w:val="solid"/>
            <w:tcMar>
              <w:top w:type="dxa" w:w="80"/>
              <w:left w:type="dxa" w:w="120"/>
              <w:bottom w:type="dxa" w:w="80"/>
              <w:right w:type="dxa" w:w="120"/>
            </w:tcMar>
          </w:tcPr>
          <w:p>
            <w:r>
              <w:rPr>
                <w:b w:val="false"/>
                <w:bCs w:val="false"/>
                <w:color w:val="374151"/>
                <w:sz w:val="18"/>
                <w:szCs w:val="18"/>
              </w:rPr>
              <w:t xml:space="preserve">Typically Amazon or total ecommerce revenue</w:t>
            </w:r>
          </w:p>
        </w:tc>
      </w:tr>
      <w:tr>
        <w:tc>
          <w:tcPr>
            <w:tcW w:type="pct" w:w="24%"/>
            <w:shd w:color="FFFFFF" w:val="solid"/>
            <w:tcMar>
              <w:top w:type="dxa" w:w="80"/>
              <w:left w:type="dxa" w:w="120"/>
              <w:bottom w:type="dxa" w:w="80"/>
              <w:right w:type="dxa" w:w="120"/>
            </w:tcMar>
          </w:tcPr>
          <w:p>
            <w:r>
              <w:rPr>
                <w:b/>
                <w:bCs/>
                <w:color w:val="0A0F1E"/>
                <w:sz w:val="18"/>
                <w:szCs w:val="18"/>
              </w:rPr>
              <w:t xml:space="preserve">Your expected revenue lift</w:t>
            </w:r>
          </w:p>
        </w:tc>
        <w:tc>
          <w:tcPr>
            <w:tcW w:type="pct" w:w="42%"/>
            <w:shd w:color="FFFFFF" w:val="solid"/>
            <w:tcMar>
              <w:top w:type="dxa" w:w="80"/>
              <w:left w:type="dxa" w:w="120"/>
              <w:bottom w:type="dxa" w:w="80"/>
              <w:right w:type="dxa" w:w="120"/>
            </w:tcMar>
          </w:tcPr>
          <w:p>
            <w:r>
              <w:rPr>
                <w:b w:val="false"/>
                <w:bCs w:val="false"/>
                <w:color w:val="374151"/>
                <w:sz w:val="18"/>
                <w:szCs w:val="18"/>
              </w:rPr>
              <w:t xml:space="preserve">If your listings performed meaningfully better, what % improvement would you expect?</w:t>
            </w:r>
          </w:p>
        </w:tc>
        <w:tc>
          <w:tcPr>
            <w:tcW w:type="pct" w:w="34%"/>
            <w:shd w:color="FFFFFF" w:val="solid"/>
            <w:tcMar>
              <w:top w:type="dxa" w:w="80"/>
              <w:left w:type="dxa" w:w="120"/>
              <w:bottom w:type="dxa" w:w="80"/>
              <w:right w:type="dxa" w:w="120"/>
            </w:tcMar>
          </w:tcPr>
          <w:p>
            <w:r>
              <w:rPr>
                <w:b w:val="false"/>
                <w:bCs w:val="false"/>
                <w:color w:val="374151"/>
                <w:sz w:val="18"/>
                <w:szCs w:val="18"/>
              </w:rPr>
              <w:t xml:space="preserve">Default 1%. Pattern brands avg 81.56% match score — use as context, not a claim.</w:t>
            </w:r>
          </w:p>
        </w:tc>
      </w:tr>
      <w:tr>
        <w:tc>
          <w:tcPr>
            <w:tcW w:type="pct" w:w="24%"/>
            <w:shd w:color="F9FAFB" w:val="solid"/>
            <w:tcMar>
              <w:top w:type="dxa" w:w="80"/>
              <w:left w:type="dxa" w:w="120"/>
              <w:bottom w:type="dxa" w:w="80"/>
              <w:right w:type="dxa" w:w="120"/>
            </w:tcMar>
          </w:tcPr>
          <w:p>
            <w:r>
              <w:rPr>
                <w:b/>
                <w:bCs/>
                <w:color w:val="0A0F1E"/>
                <w:sz w:val="18"/>
                <w:szCs w:val="18"/>
              </w:rPr>
              <w:t xml:space="preserve">Gross margin</w:t>
            </w:r>
          </w:p>
        </w:tc>
        <w:tc>
          <w:tcPr>
            <w:tcW w:type="pct" w:w="42%"/>
            <w:shd w:color="F9FAFB" w:val="solid"/>
            <w:tcMar>
              <w:top w:type="dxa" w:w="80"/>
              <w:left w:type="dxa" w:w="120"/>
              <w:bottom w:type="dxa" w:w="80"/>
              <w:right w:type="dxa" w:w="120"/>
            </w:tcMar>
          </w:tcPr>
          <w:p>
            <w:r>
              <w:rPr>
                <w:b w:val="false"/>
                <w:bCs w:val="false"/>
                <w:color w:val="374151"/>
                <w:sz w:val="18"/>
                <w:szCs w:val="18"/>
              </w:rPr>
              <w:t xml:space="preserve">What is your margin on that revenue?</w:t>
            </w:r>
          </w:p>
        </w:tc>
        <w:tc>
          <w:tcPr>
            <w:tcW w:type="pct" w:w="34%"/>
            <w:shd w:color="F9FAFB" w:val="solid"/>
            <w:tcMar>
              <w:top w:type="dxa" w:w="80"/>
              <w:left w:type="dxa" w:w="120"/>
              <w:bottom w:type="dxa" w:w="80"/>
              <w:right w:type="dxa" w:w="120"/>
            </w:tcMar>
          </w:tcPr>
          <w:p>
            <w:r>
              <w:rPr>
                <w:b w:val="false"/>
                <w:bCs w:val="false"/>
                <w:color w:val="374151"/>
                <w:sz w:val="18"/>
                <w:szCs w:val="18"/>
              </w:rPr>
              <w:t xml:space="preserve">Determines the profit value of the lift</w:t>
            </w:r>
          </w:p>
        </w:tc>
      </w:tr>
      <w:tr>
        <w:tc>
          <w:tcPr>
            <w:tcW w:type="pct" w:w="24%"/>
            <w:shd w:color="FFFFFF" w:val="solid"/>
            <w:tcMar>
              <w:top w:type="dxa" w:w="80"/>
              <w:left w:type="dxa" w:w="120"/>
              <w:bottom w:type="dxa" w:w="80"/>
              <w:right w:type="dxa" w:w="120"/>
            </w:tcMar>
          </w:tcPr>
          <w:p>
            <w:r>
              <w:rPr>
                <w:b/>
                <w:bCs/>
                <w:color w:val="0A0F1E"/>
                <w:sz w:val="18"/>
                <w:szCs w:val="18"/>
              </w:rPr>
              <w:t xml:space="preserve">Credit to better content?</w:t>
            </w:r>
          </w:p>
        </w:tc>
        <w:tc>
          <w:tcPr>
            <w:tcW w:type="pct" w:w="42%"/>
            <w:shd w:color="FFFFFF" w:val="solid"/>
            <w:tcMar>
              <w:top w:type="dxa" w:w="80"/>
              <w:left w:type="dxa" w:w="120"/>
              <w:bottom w:type="dxa" w:w="80"/>
              <w:right w:type="dxa" w:w="120"/>
            </w:tcMar>
          </w:tcPr>
          <w:p>
            <w:r>
              <w:rPr>
                <w:b w:val="false"/>
                <w:bCs w:val="false"/>
                <w:color w:val="374151"/>
                <w:sz w:val="18"/>
                <w:szCs w:val="18"/>
              </w:rPr>
              <w:t xml:space="preserve">Of that revenue lift, how much would you attribute to content quality specifically?</w:t>
            </w:r>
          </w:p>
        </w:tc>
        <w:tc>
          <w:tcPr>
            <w:tcW w:type="pct" w:w="34%"/>
            <w:shd w:color="FFFFFF" w:val="solid"/>
            <w:tcMar>
              <w:top w:type="dxa" w:w="80"/>
              <w:left w:type="dxa" w:w="120"/>
              <w:bottom w:type="dxa" w:w="80"/>
              <w:right w:type="dxa" w:w="120"/>
            </w:tcMar>
          </w:tcPr>
          <w:p>
            <w:r>
              <w:rPr>
                <w:b w:val="false"/>
                <w:bCs w:val="false"/>
                <w:color w:val="374151"/>
                <w:sz w:val="18"/>
                <w:szCs w:val="18"/>
              </w:rPr>
              <w:t xml:space="preserve">40–60% when content is a known gap. Customer decides.</w:t>
            </w:r>
          </w:p>
        </w:tc>
      </w:tr>
      <w:tr>
        <w:tc>
          <w:tcPr>
            <w:tcW w:type="pct" w:w="24%"/>
            <w:shd w:color="F9FAFB" w:val="solid"/>
            <w:tcMar>
              <w:top w:type="dxa" w:w="80"/>
              <w:left w:type="dxa" w:w="120"/>
              <w:bottom w:type="dxa" w:w="80"/>
              <w:right w:type="dxa" w:w="120"/>
            </w:tcMar>
          </w:tcPr>
          <w:p>
            <w:r>
              <w:rPr>
                <w:b/>
                <w:bCs/>
                <w:color w:val="0A0F1E"/>
                <w:sz w:val="18"/>
                <w:szCs w:val="18"/>
              </w:rPr>
              <w:t xml:space="preserve">Annual PXM investment</w:t>
            </w:r>
          </w:p>
        </w:tc>
        <w:tc>
          <w:tcPr>
            <w:tcW w:type="pct" w:w="42%"/>
            <w:shd w:color="F9FAFB" w:val="solid"/>
            <w:tcMar>
              <w:top w:type="dxa" w:w="80"/>
              <w:left w:type="dxa" w:w="120"/>
              <w:bottom w:type="dxa" w:w="80"/>
              <w:right w:type="dxa" w:w="120"/>
            </w:tcMar>
          </w:tcPr>
          <w:p>
            <w:r>
              <w:rPr>
                <w:b w:val="false"/>
                <w:bCs w:val="false"/>
                <w:color w:val="374151"/>
                <w:sz w:val="18"/>
                <w:szCs w:val="18"/>
              </w:rPr>
              <w:t xml:space="preserve">This is the platform fee from the commercial proposal.</w:t>
            </w:r>
          </w:p>
        </w:tc>
        <w:tc>
          <w:tcPr>
            <w:tcW w:type="pct" w:w="34%"/>
            <w:shd w:color="F9FAFB" w:val="solid"/>
            <w:tcMar>
              <w:top w:type="dxa" w:w="80"/>
              <w:left w:type="dxa" w:w="120"/>
              <w:bottom w:type="dxa" w:w="80"/>
              <w:right w:type="dxa" w:w="120"/>
            </w:tcMar>
          </w:tcPr>
          <w:p>
            <w:r>
              <w:rPr>
                <w:b w:val="false"/>
                <w:bCs w:val="false"/>
                <w:color w:val="374151"/>
                <w:sz w:val="18"/>
                <w:szCs w:val="18"/>
              </w:rPr>
              <w:t xml:space="preserve">Enter the actual proposed figure</w:t>
            </w:r>
          </w:p>
        </w:tc>
      </w:tr>
      <w:tr>
        <w:tc>
          <w:tcPr>
            <w:tcW w:type="pct" w:w="24%"/>
            <w:shd w:color="FFFFFF" w:val="solid"/>
            <w:tcMar>
              <w:top w:type="dxa" w:w="80"/>
              <w:left w:type="dxa" w:w="120"/>
              <w:bottom w:type="dxa" w:w="80"/>
              <w:right w:type="dxa" w:w="120"/>
            </w:tcMar>
          </w:tcPr>
          <w:p>
            <w:r>
              <w:rPr>
                <w:b/>
                <w:bCs/>
                <w:color w:val="0A0F1E"/>
                <w:sz w:val="18"/>
                <w:szCs w:val="18"/>
              </w:rPr>
              <w:t xml:space="preserve">One-time implementation</w:t>
            </w:r>
          </w:p>
        </w:tc>
        <w:tc>
          <w:tcPr>
            <w:tcW w:type="pct" w:w="42%"/>
            <w:shd w:color="FFFFFF" w:val="solid"/>
            <w:tcMar>
              <w:top w:type="dxa" w:w="80"/>
              <w:left w:type="dxa" w:w="120"/>
              <w:bottom w:type="dxa" w:w="80"/>
              <w:right w:type="dxa" w:w="120"/>
            </w:tcMar>
          </w:tcPr>
          <w:p>
            <w:r>
              <w:rPr>
                <w:b w:val="false"/>
                <w:bCs w:val="false"/>
                <w:color w:val="374151"/>
                <w:sz w:val="18"/>
                <w:szCs w:val="18"/>
              </w:rPr>
              <w:t xml:space="preserve">One-time onboarding and setup cost.</w:t>
            </w:r>
          </w:p>
        </w:tc>
        <w:tc>
          <w:tcPr>
            <w:tcW w:type="pct" w:w="34%"/>
            <w:shd w:color="FFFFFF" w:val="solid"/>
            <w:tcMar>
              <w:top w:type="dxa" w:w="80"/>
              <w:left w:type="dxa" w:w="120"/>
              <w:bottom w:type="dxa" w:w="80"/>
              <w:right w:type="dxa" w:w="120"/>
            </w:tcMar>
          </w:tcPr>
          <w:p>
            <w:r>
              <w:rPr>
                <w:b w:val="false"/>
                <w:bCs w:val="false"/>
                <w:color w:val="374151"/>
                <w:sz w:val="18"/>
                <w:szCs w:val="18"/>
              </w:rPr>
              <w:t xml:space="preserve">Enter from proposal</w:t>
            </w:r>
          </w:p>
        </w:tc>
      </w:tr>
    </w:tbl>
    <w:p>
      <w:pPr>
        <w:spacing w:after="0" w:before="80"/>
      </w:pPr>
    </w:p>
    <w:p>
      <w:pPr>
        <w:spacing w:after="80" w:before="200"/>
      </w:pPr>
      <w:r>
        <w:rPr>
          <w:b/>
          <w:bCs/>
          <w:color w:val="00A7FF"/>
          <w:sz w:val="22"/>
          <w:szCs w:val="22"/>
        </w:rPr>
        <w:t xml:space="preserve">The Math</w:t>
      </w:r>
    </w:p>
    <w:p>
      <w:pPr>
        <w:pBdr>
          <w:left w:val="thick" w:color="00A7FF" w:sz="12"/>
        </w:pBdr>
        <w:shd w:color="F0F4FF" w:val="solid"/>
        <w:spacing w:after="0" w:before="120"/>
        <w:ind w:left="200"/>
      </w:pPr>
      <w:r>
        <w:rPr>
          <w:b/>
          <w:bCs/>
          <w:color w:val="0A0F1E"/>
          <w:sz w:val="18"/>
          <w:szCs w:val="18"/>
        </w:rPr>
        <w:t xml:space="preserve">Growth contribution (scenario-adjusted)</w:t>
      </w:r>
    </w:p>
    <w:p>
      <w:pPr>
        <w:pBdr>
          <w:left w:val="thick" w:color="00A7FF" w:sz="12"/>
        </w:pBdr>
        <w:shd w:color="F0F4FF" w:val="solid"/>
        <w:spacing w:after="160" w:before="0"/>
        <w:ind w:left="200"/>
      </w:pPr>
      <w:r>
        <w:rPr>
          <w:rFonts w:ascii="Courier New" w:cs="Courier New" w:eastAsia="Courier New" w:hAnsi="Courier New"/>
          <w:color w:val="0055AA"/>
          <w:sz w:val="18"/>
          <w:szCs w:val="18"/>
        </w:rPr>
        <w:t xml:space="preserve">annual revenue  ×  lift%  ×  gross margin%  ×  attribution%  ×  scenario factor</w:t>
      </w:r>
    </w:p>
    <w:p>
      <w:pPr>
        <w:pBdr>
          <w:left w:val="thick" w:color="00A7FF" w:sz="12"/>
        </w:pBdr>
        <w:shd w:color="F0F4FF" w:val="solid"/>
        <w:spacing w:after="0" w:before="120"/>
        <w:ind w:left="200"/>
      </w:pPr>
      <w:r>
        <w:rPr>
          <w:b/>
          <w:bCs/>
          <w:color w:val="0A0F1E"/>
          <w:sz w:val="18"/>
          <w:szCs w:val="18"/>
        </w:rPr>
        <w:t xml:space="preserve">Year-one net value</w:t>
      </w:r>
    </w:p>
    <w:p>
      <w:pPr>
        <w:pBdr>
          <w:left w:val="thick" w:color="00A7FF" w:sz="12"/>
        </w:pBdr>
        <w:shd w:color="F0F4FF" w:val="solid"/>
        <w:spacing w:after="160" w:before="0"/>
        <w:ind w:left="200"/>
      </w:pPr>
      <w:r>
        <w:rPr>
          <w:rFonts w:ascii="Courier New" w:cs="Courier New" w:eastAsia="Courier New" w:hAnsi="Courier New"/>
          <w:color w:val="0055AA"/>
          <w:sz w:val="18"/>
          <w:szCs w:val="18"/>
        </w:rPr>
        <w:t xml:space="preserve">gross benefit  −  (annual PXM fee  +  implementation cost)</w:t>
      </w:r>
    </w:p>
    <w:p>
      <w:pPr>
        <w:pBdr>
          <w:left w:val="thick" w:color="00A7FF" w:sz="12"/>
        </w:pBdr>
        <w:shd w:color="F0F4FF" w:val="solid"/>
        <w:spacing w:after="0" w:before="120"/>
        <w:ind w:left="200"/>
      </w:pPr>
      <w:r>
        <w:rPr>
          <w:b/>
          <w:bCs/>
          <w:color w:val="0A0F1E"/>
          <w:sz w:val="18"/>
          <w:szCs w:val="18"/>
        </w:rPr>
        <w:t xml:space="preserve">Year-one ROI</w:t>
      </w:r>
    </w:p>
    <w:p>
      <w:pPr>
        <w:pBdr>
          <w:left w:val="thick" w:color="00A7FF" w:sz="12"/>
        </w:pBdr>
        <w:shd w:color="F0F4FF" w:val="solid"/>
        <w:spacing w:after="160" w:before="0"/>
        <w:ind w:left="200"/>
      </w:pPr>
      <w:r>
        <w:rPr>
          <w:rFonts w:ascii="Courier New" w:cs="Courier New" w:eastAsia="Courier New" w:hAnsi="Courier New"/>
          <w:color w:val="0055AA"/>
          <w:sz w:val="18"/>
          <w:szCs w:val="18"/>
        </w:rPr>
        <w:t xml:space="preserve">(net value  ÷  year-one investment)  ×  100</w:t>
      </w:r>
    </w:p>
    <w:p>
      <w:pPr>
        <w:pBdr>
          <w:left w:val="thick" w:color="00A7FF" w:sz="12"/>
        </w:pBdr>
        <w:shd w:color="F0F4FF" w:val="solid"/>
        <w:spacing w:after="0" w:before="120"/>
        <w:ind w:left="200"/>
      </w:pPr>
      <w:r>
        <w:rPr>
          <w:b/>
          <w:bCs/>
          <w:color w:val="0A0F1E"/>
          <w:sz w:val="18"/>
          <w:szCs w:val="18"/>
        </w:rPr>
        <w:t xml:space="preserve">Payback (months)</w:t>
      </w:r>
    </w:p>
    <w:p>
      <w:pPr>
        <w:pBdr>
          <w:left w:val="thick" w:color="00A7FF" w:sz="12"/>
        </w:pBdr>
        <w:shd w:color="F0F4FF" w:val="solid"/>
        <w:spacing w:after="160" w:before="0"/>
        <w:ind w:left="200"/>
      </w:pPr>
      <w:r>
        <w:rPr>
          <w:rFonts w:ascii="Courier New" w:cs="Courier New" w:eastAsia="Courier New" w:hAnsi="Courier New"/>
          <w:color w:val="0055AA"/>
          <w:sz w:val="18"/>
          <w:szCs w:val="18"/>
        </w:rPr>
        <w:t xml:space="preserve">(year-one investment  ÷  annual gross benefit)  ×  12</w:t>
      </w:r>
    </w:p>
    <w:p>
      <w:pPr>
        <w:pBdr>
          <w:left w:val="thick" w:color="00A7FF" w:sz="12"/>
        </w:pBdr>
        <w:shd w:color="F0F4FF" w:val="solid"/>
        <w:spacing w:after="0" w:before="120"/>
        <w:ind w:left="200"/>
      </w:pPr>
      <w:r>
        <w:rPr>
          <w:b/>
          <w:bCs/>
          <w:color w:val="0A0F1E"/>
          <w:sz w:val="18"/>
          <w:szCs w:val="18"/>
        </w:rPr>
        <w:t xml:space="preserve">3-year net value</w:t>
      </w:r>
    </w:p>
    <w:p>
      <w:pPr>
        <w:pBdr>
          <w:left w:val="thick" w:color="00A7FF" w:sz="12"/>
        </w:pBdr>
        <w:shd w:color="F0F4FF" w:val="solid"/>
        <w:spacing w:after="160" w:before="0"/>
        <w:ind w:left="200"/>
      </w:pPr>
      <w:r>
        <w:rPr>
          <w:rFonts w:ascii="Courier New" w:cs="Courier New" w:eastAsia="Courier New" w:hAnsi="Courier New"/>
          <w:color w:val="0055AA"/>
          <w:sz w:val="18"/>
          <w:szCs w:val="18"/>
        </w:rPr>
        <w:t xml:space="preserve">(annual gross benefit × 3)  −  (annual PXM fee × 3)  −  implementation</w:t>
      </w:r>
    </w:p>
    <w:p>
      <w:pPr>
        <w:spacing w:after="80" w:before="200"/>
      </w:pPr>
      <w:r>
        <w:rPr>
          <w:b/>
          <w:bCs/>
          <w:color w:val="00A7FF"/>
          <w:sz w:val="22"/>
          <w:szCs w:val="22"/>
        </w:rPr>
        <w:t xml:space="preserve">How to Talk About It</w:t>
      </w:r>
    </w:p>
    <w:p>
      <w:pPr>
        <w:pStyle w:val="ListParagraph"/>
        <w:numPr>
          <w:ilvl w:val="0"/>
          <w:numId w:val="1"/>
        </w:numPr>
        <w:spacing w:after="40" w:before="40"/>
      </w:pPr>
      <w:r>
        <w:rPr>
          <w:color w:val="1F2937"/>
          <w:sz w:val="20"/>
          <w:szCs w:val="20"/>
        </w:rPr>
        <w:t xml:space="preserve">"This number is your estimate, not ours. We've left it conservative at 1%. If you think that's too low or too high for your business, adjust it — the model is yours."</w:t>
      </w:r>
    </w:p>
    <w:p>
      <w:pPr>
        <w:pStyle w:val="ListParagraph"/>
        <w:numPr>
          <w:ilvl w:val="0"/>
          <w:numId w:val="1"/>
        </w:numPr>
        <w:spacing w:after="40" w:before="40"/>
      </w:pPr>
      <w:r>
        <w:rPr>
          <w:color w:val="1F2937"/>
          <w:sz w:val="20"/>
          <w:szCs w:val="20"/>
        </w:rPr>
        <w:t xml:space="preserve">"Pattern-managed brands average an 81.56% content match score. If your catalog is currently below that, there's a real opportunity here — but we want you to decide what that's worth, not us."</w:t>
      </w:r>
    </w:p>
    <w:p>
      <w:pPr>
        <w:pStyle w:val="ListParagraph"/>
        <w:numPr>
          <w:ilvl w:val="0"/>
          <w:numId w:val="1"/>
        </w:numPr>
        <w:spacing w:after="40" w:before="40"/>
      </w:pPr>
      <w:r>
        <w:rPr>
          <w:color w:val="1F2937"/>
          <w:sz w:val="20"/>
          <w:szCs w:val="20"/>
        </w:rPr>
        <w:t xml:space="preserve">Lead with the operational case ($0 in this field). Then say: 'If we add even a conservative growth assumption, here's what changes.'</w:t>
      </w:r>
    </w:p>
    <w:p>
      <w:pPr>
        <w:pBdr>
          <w:left w:val="thick" w:color="F59E0B" w:sz="12"/>
        </w:pBdr>
        <w:shd w:color="FFF8E1" w:val="solid"/>
        <w:spacing w:after="0" w:before="160"/>
        <w:ind w:left="200"/>
      </w:pPr>
      <w:r>
        <w:rPr>
          <w:b/>
          <w:bCs/>
          <w:color w:val="0A0F1E"/>
          <w:sz w:val="18"/>
          <w:szCs w:val="18"/>
        </w:rPr>
        <w:t xml:space="preserve">Scenario example  </w:t>
      </w:r>
    </w:p>
    <w:p>
      <w:pPr>
        <w:pBdr>
          <w:left w:val="thick" w:color="F59E0B" w:sz="12"/>
        </w:pBdr>
        <w:shd w:color="FFF8E1" w:val="solid"/>
        <w:spacing w:after="160" w:before="0"/>
        <w:ind w:left="200"/>
      </w:pPr>
      <w:r>
        <w:rPr>
          <w:color w:val="1F2937"/>
          <w:sz w:val="18"/>
          <w:szCs w:val="18"/>
        </w:rPr>
        <w:t xml:space="preserve">$10M revenue, 1% lift, 40% gross margin, 50% credited to content. Growth contribution = $10M × 0.01 × 0.40 × 0.50 = $20,000. Conservative (0.7×): $14,000. Expected (1.0×): $20,000. Upside (1.3×): $26,000. Tip: the operational case (Sections 02–04) typically produces 5–10× more value than the growth section at conservative inputs.</w:t>
      </w:r>
    </w:p>
    <w:p>
      <w:pPr>
        <w:pBdr>
          <w:bottom w:val="single" w:color="E5E7EB" w:sz="6"/>
        </w:pBdr>
        <w:spacing w:after="240" w:before="240"/>
      </w:pPr>
    </w:p>
    <w:p>
      <w:pPr>
        <w:spacing w:after="60" w:before="240"/>
      </w:pPr>
      <w:r>
        <w:rPr>
          <w:b/>
          <w:bCs/>
          <w:caps/>
          <w:color w:val="00A7FF"/>
          <w:sz w:val="16"/>
          <w:szCs w:val="16"/>
        </w:rPr>
        <w:t xml:space="preserve">Results Reference</w:t>
      </w:r>
    </w:p>
    <w:p>
      <w:pPr>
        <w:pStyle w:val="Heading2"/>
        <w:spacing w:after="100" w:before="280"/>
      </w:pPr>
      <w:r>
        <w:rPr>
          <w:b/>
          <w:bCs/>
          <w:color w:val="0A0F1E"/>
          <w:sz w:val="32"/>
          <w:szCs w:val="32"/>
        </w:rPr>
        <w:t xml:space="preserve">Reading the Output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color="111827" w:val="solid"/>
            <w:tcMar>
              <w:top w:type="dxa" w:w="80"/>
              <w:left w:type="dxa" w:w="120"/>
              <w:bottom w:type="dxa" w:w="80"/>
              <w:right w:type="dxa" w:w="120"/>
            </w:tcMar>
          </w:tcPr>
          <w:p>
            <w:r>
              <w:rPr>
                <w:b/>
                <w:bCs/>
                <w:color w:val="FFFFFF"/>
                <w:sz w:val="18"/>
                <w:szCs w:val="18"/>
              </w:rPr>
              <w:t xml:space="preserve">Output</w:t>
            </w:r>
          </w:p>
        </w:tc>
        <w:tc>
          <w:tcPr>
            <w:tcW w:type="pct" w:w="36%"/>
            <w:shd w:color="111827" w:val="solid"/>
            <w:tcMar>
              <w:top w:type="dxa" w:w="80"/>
              <w:left w:type="dxa" w:w="120"/>
              <w:bottom w:type="dxa" w:w="80"/>
              <w:right w:type="dxa" w:w="120"/>
            </w:tcMar>
          </w:tcPr>
          <w:p>
            <w:r>
              <w:rPr>
                <w:b/>
                <w:bCs/>
                <w:color w:val="FFFFFF"/>
                <w:sz w:val="18"/>
                <w:szCs w:val="18"/>
              </w:rPr>
              <w:t xml:space="preserve">Formula</w:t>
            </w:r>
          </w:p>
        </w:tc>
        <w:tc>
          <w:tcPr>
            <w:tcW w:type="pct" w:w="42%"/>
            <w:shd w:color="111827" w:val="solid"/>
            <w:tcMar>
              <w:top w:type="dxa" w:w="80"/>
              <w:left w:type="dxa" w:w="120"/>
              <w:bottom w:type="dxa" w:w="80"/>
              <w:right w:type="dxa" w:w="120"/>
            </w:tcMar>
          </w:tcPr>
          <w:p>
            <w:r>
              <w:rPr>
                <w:b/>
                <w:bCs/>
                <w:color w:val="FFFFFF"/>
                <w:sz w:val="18"/>
                <w:szCs w:val="18"/>
              </w:rPr>
              <w:t xml:space="preserve">What to Say</w:t>
            </w:r>
          </w:p>
        </w:tc>
      </w:tr>
      <w:tr>
        <w:tc>
          <w:tcPr>
            <w:tcW w:type="pct" w:w="22%"/>
            <w:shd w:color="F9FAFB" w:val="solid"/>
            <w:tcMar>
              <w:top w:type="dxa" w:w="80"/>
              <w:left w:type="dxa" w:w="120"/>
              <w:bottom w:type="dxa" w:w="80"/>
              <w:right w:type="dxa" w:w="120"/>
            </w:tcMar>
          </w:tcPr>
          <w:p>
            <w:r>
              <w:rPr>
                <w:b/>
                <w:bCs/>
                <w:color w:val="0A0F1E"/>
                <w:sz w:val="18"/>
                <w:szCs w:val="18"/>
              </w:rPr>
              <w:t xml:space="preserve">Estimated year-one net value</w:t>
            </w:r>
          </w:p>
        </w:tc>
        <w:tc>
          <w:tcPr>
            <w:tcW w:type="pct" w:w="36%"/>
            <w:shd w:color="F9FAFB" w:val="solid"/>
            <w:tcMar>
              <w:top w:type="dxa" w:w="80"/>
              <w:left w:type="dxa" w:w="120"/>
              <w:bottom w:type="dxa" w:w="80"/>
              <w:right w:type="dxa" w:w="120"/>
            </w:tcMar>
          </w:tcPr>
          <w:p>
            <w:r>
              <w:rPr>
                <w:b w:val="false"/>
                <w:bCs w:val="false"/>
                <w:color w:val="374151"/>
                <w:sz w:val="18"/>
                <w:szCs w:val="18"/>
              </w:rPr>
              <w:t xml:space="preserve">Gross benefit − (annual PXM fee + implementation)</w:t>
            </w:r>
          </w:p>
        </w:tc>
        <w:tc>
          <w:tcPr>
            <w:tcW w:type="pct" w:w="42%"/>
            <w:shd w:color="F9FAFB" w:val="solid"/>
            <w:tcMar>
              <w:top w:type="dxa" w:w="80"/>
              <w:left w:type="dxa" w:w="120"/>
              <w:bottom w:type="dxa" w:w="80"/>
              <w:right w:type="dxa" w:w="120"/>
            </w:tcMar>
          </w:tcPr>
          <w:p>
            <w:r>
              <w:rPr>
                <w:b w:val="false"/>
                <w:bCs w:val="false"/>
                <w:color w:val="374151"/>
                <w:sz w:val="18"/>
                <w:szCs w:val="18"/>
              </w:rPr>
              <w:t xml:space="preserve">"This is the net value in year one after fully paying for Pattern."</w:t>
            </w:r>
          </w:p>
        </w:tc>
      </w:tr>
      <w:tr>
        <w:tc>
          <w:tcPr>
            <w:tcW w:type="pct" w:w="22%"/>
            <w:shd w:color="FFFFFF" w:val="solid"/>
            <w:tcMar>
              <w:top w:type="dxa" w:w="80"/>
              <w:left w:type="dxa" w:w="120"/>
              <w:bottom w:type="dxa" w:w="80"/>
              <w:right w:type="dxa" w:w="120"/>
            </w:tcMar>
          </w:tcPr>
          <w:p>
            <w:r>
              <w:rPr>
                <w:b/>
                <w:bCs/>
                <w:color w:val="0A0F1E"/>
                <w:sz w:val="18"/>
                <w:szCs w:val="18"/>
              </w:rPr>
              <w:t xml:space="preserve">Year-one ROI</w:t>
            </w:r>
          </w:p>
        </w:tc>
        <w:tc>
          <w:tcPr>
            <w:tcW w:type="pct" w:w="36%"/>
            <w:shd w:color="FFFFFF" w:val="solid"/>
            <w:tcMar>
              <w:top w:type="dxa" w:w="80"/>
              <w:left w:type="dxa" w:w="120"/>
              <w:bottom w:type="dxa" w:w="80"/>
              <w:right w:type="dxa" w:w="120"/>
            </w:tcMar>
          </w:tcPr>
          <w:p>
            <w:r>
              <w:rPr>
                <w:b w:val="false"/>
                <w:bCs w:val="false"/>
                <w:color w:val="374151"/>
                <w:sz w:val="18"/>
                <w:szCs w:val="18"/>
              </w:rPr>
              <w:t xml:space="preserve">(Net value ÷ year-one investment) × 100</w:t>
            </w:r>
          </w:p>
        </w:tc>
        <w:tc>
          <w:tcPr>
            <w:tcW w:type="pct" w:w="42%"/>
            <w:shd w:color="FFFFFF" w:val="solid"/>
            <w:tcMar>
              <w:top w:type="dxa" w:w="80"/>
              <w:left w:type="dxa" w:w="120"/>
              <w:bottom w:type="dxa" w:w="80"/>
              <w:right w:type="dxa" w:w="120"/>
            </w:tcMar>
          </w:tcPr>
          <w:p>
            <w:r>
              <w:rPr>
                <w:b w:val="false"/>
                <w:bCs w:val="false"/>
                <w:color w:val="374151"/>
                <w:sz w:val="18"/>
                <w:szCs w:val="18"/>
              </w:rPr>
              <w:t xml:space="preserve">"For every dollar invested in PXM, you get back $X."</w:t>
            </w:r>
          </w:p>
        </w:tc>
      </w:tr>
      <w:tr>
        <w:tc>
          <w:tcPr>
            <w:tcW w:type="pct" w:w="22%"/>
            <w:shd w:color="F9FAFB" w:val="solid"/>
            <w:tcMar>
              <w:top w:type="dxa" w:w="80"/>
              <w:left w:type="dxa" w:w="120"/>
              <w:bottom w:type="dxa" w:w="80"/>
              <w:right w:type="dxa" w:w="120"/>
            </w:tcMar>
          </w:tcPr>
          <w:p>
            <w:r>
              <w:rPr>
                <w:b/>
                <w:bCs/>
                <w:color w:val="0A0F1E"/>
                <w:sz w:val="18"/>
                <w:szCs w:val="18"/>
              </w:rPr>
              <w:t xml:space="preserve">Payback</w:t>
            </w:r>
          </w:p>
        </w:tc>
        <w:tc>
          <w:tcPr>
            <w:tcW w:type="pct" w:w="36%"/>
            <w:shd w:color="F9FAFB" w:val="solid"/>
            <w:tcMar>
              <w:top w:type="dxa" w:w="80"/>
              <w:left w:type="dxa" w:w="120"/>
              <w:bottom w:type="dxa" w:w="80"/>
              <w:right w:type="dxa" w:w="120"/>
            </w:tcMar>
          </w:tcPr>
          <w:p>
            <w:r>
              <w:rPr>
                <w:b w:val="false"/>
                <w:bCs w:val="false"/>
                <w:color w:val="374151"/>
                <w:sz w:val="18"/>
                <w:szCs w:val="18"/>
              </w:rPr>
              <w:t xml:space="preserve">(Year-one cost ÷ annual gross benefit) × 12</w:t>
            </w:r>
          </w:p>
        </w:tc>
        <w:tc>
          <w:tcPr>
            <w:tcW w:type="pct" w:w="42%"/>
            <w:shd w:color="F9FAFB" w:val="solid"/>
            <w:tcMar>
              <w:top w:type="dxa" w:w="80"/>
              <w:left w:type="dxa" w:w="120"/>
              <w:bottom w:type="dxa" w:w="80"/>
              <w:right w:type="dxa" w:w="120"/>
            </w:tcMar>
          </w:tcPr>
          <w:p>
            <w:r>
              <w:rPr>
                <w:b w:val="false"/>
                <w:bCs w:val="false"/>
                <w:color w:val="374151"/>
                <w:sz w:val="18"/>
                <w:szCs w:val="18"/>
              </w:rPr>
              <w:t xml:space="preserve">"You recover the full investment in X months."</w:t>
            </w:r>
          </w:p>
        </w:tc>
      </w:tr>
      <w:tr>
        <w:tc>
          <w:tcPr>
            <w:tcW w:type="pct" w:w="22%"/>
            <w:shd w:color="FFFFFF" w:val="solid"/>
            <w:tcMar>
              <w:top w:type="dxa" w:w="80"/>
              <w:left w:type="dxa" w:w="120"/>
              <w:bottom w:type="dxa" w:w="80"/>
              <w:right w:type="dxa" w:w="120"/>
            </w:tcMar>
          </w:tcPr>
          <w:p>
            <w:r>
              <w:rPr>
                <w:b/>
                <w:bCs/>
                <w:color w:val="0A0F1E"/>
                <w:sz w:val="18"/>
                <w:szCs w:val="18"/>
              </w:rPr>
              <w:t xml:space="preserve">3-year net value</w:t>
            </w:r>
          </w:p>
        </w:tc>
        <w:tc>
          <w:tcPr>
            <w:tcW w:type="pct" w:w="36%"/>
            <w:shd w:color="FFFFFF" w:val="solid"/>
            <w:tcMar>
              <w:top w:type="dxa" w:w="80"/>
              <w:left w:type="dxa" w:w="120"/>
              <w:bottom w:type="dxa" w:w="80"/>
              <w:right w:type="dxa" w:w="120"/>
            </w:tcMar>
          </w:tcPr>
          <w:p>
            <w:r>
              <w:rPr>
                <w:b w:val="false"/>
                <w:bCs w:val="false"/>
                <w:color w:val="374151"/>
                <w:sz w:val="18"/>
                <w:szCs w:val="18"/>
              </w:rPr>
              <w:t xml:space="preserve">(Gross benefit × 3) − (annual fee × 3) − implementation</w:t>
            </w:r>
          </w:p>
        </w:tc>
        <w:tc>
          <w:tcPr>
            <w:tcW w:type="pct" w:w="42%"/>
            <w:shd w:color="FFFFFF" w:val="solid"/>
            <w:tcMar>
              <w:top w:type="dxa" w:w="80"/>
              <w:left w:type="dxa" w:w="120"/>
              <w:bottom w:type="dxa" w:w="80"/>
              <w:right w:type="dxa" w:w="120"/>
            </w:tcMar>
          </w:tcPr>
          <w:p>
            <w:r>
              <w:rPr>
                <w:b w:val="false"/>
                <w:bCs w:val="false"/>
                <w:color w:val="374151"/>
                <w:sz w:val="18"/>
                <w:szCs w:val="18"/>
              </w:rPr>
              <w:t xml:space="preserve">"Over three years, after all platform costs, the net value is X."</w:t>
            </w:r>
          </w:p>
        </w:tc>
      </w:tr>
      <w:tr>
        <w:tc>
          <w:tcPr>
            <w:tcW w:type="pct" w:w="22%"/>
            <w:shd w:color="F9FAFB" w:val="solid"/>
            <w:tcMar>
              <w:top w:type="dxa" w:w="80"/>
              <w:left w:type="dxa" w:w="120"/>
              <w:bottom w:type="dxa" w:w="80"/>
              <w:right w:type="dxa" w:w="120"/>
            </w:tcMar>
          </w:tcPr>
          <w:p>
            <w:r>
              <w:rPr>
                <w:b/>
                <w:bCs/>
                <w:color w:val="0A0F1E"/>
                <w:sz w:val="18"/>
                <w:szCs w:val="18"/>
              </w:rPr>
              <w:t xml:space="preserve">Hours returned</w:t>
            </w:r>
          </w:p>
        </w:tc>
        <w:tc>
          <w:tcPr>
            <w:tcW w:type="pct" w:w="36%"/>
            <w:shd w:color="F9FAFB" w:val="solid"/>
            <w:tcMar>
              <w:top w:type="dxa" w:w="80"/>
              <w:left w:type="dxa" w:w="120"/>
              <w:bottom w:type="dxa" w:w="80"/>
              <w:right w:type="dxa" w:w="120"/>
            </w:tcMar>
          </w:tcPr>
          <w:p>
            <w:r>
              <w:rPr>
                <w:b w:val="false"/>
                <w:bCs w:val="false"/>
                <w:color w:val="374151"/>
                <w:sz w:val="18"/>
                <w:szCs w:val="18"/>
              </w:rPr>
              <w:t xml:space="preserve">Content hours + asset hours + syndication hours</w:t>
            </w:r>
          </w:p>
        </w:tc>
        <w:tc>
          <w:tcPr>
            <w:tcW w:type="pct" w:w="42%"/>
            <w:shd w:color="F9FAFB" w:val="solid"/>
            <w:tcMar>
              <w:top w:type="dxa" w:w="80"/>
              <w:left w:type="dxa" w:w="120"/>
              <w:bottom w:type="dxa" w:w="80"/>
              <w:right w:type="dxa" w:w="120"/>
            </w:tcMar>
          </w:tcPr>
          <w:p>
            <w:r>
              <w:rPr>
                <w:b w:val="false"/>
                <w:bCs w:val="false"/>
                <w:color w:val="374151"/>
                <w:sz w:val="18"/>
                <w:szCs w:val="18"/>
              </w:rPr>
              <w:t xml:space="preserve">"Your team gets back X hours per year — time that currently goes to manual work."</w:t>
            </w:r>
          </w:p>
        </w:tc>
      </w:tr>
      <w:tr>
        <w:tc>
          <w:tcPr>
            <w:tcW w:type="pct" w:w="22%"/>
            <w:shd w:color="FFFFFF" w:val="solid"/>
            <w:tcMar>
              <w:top w:type="dxa" w:w="80"/>
              <w:left w:type="dxa" w:w="120"/>
              <w:bottom w:type="dxa" w:w="80"/>
              <w:right w:type="dxa" w:w="120"/>
            </w:tcMar>
          </w:tcPr>
          <w:p>
            <w:r>
              <w:rPr>
                <w:b/>
                <w:bCs/>
                <w:color w:val="0A0F1E"/>
                <w:sz w:val="18"/>
                <w:szCs w:val="18"/>
              </w:rPr>
              <w:t xml:space="preserve">Benefit by lever</w:t>
            </w:r>
          </w:p>
        </w:tc>
        <w:tc>
          <w:tcPr>
            <w:tcW w:type="pct" w:w="36%"/>
            <w:shd w:color="FFFFFF" w:val="solid"/>
            <w:tcMar>
              <w:top w:type="dxa" w:w="80"/>
              <w:left w:type="dxa" w:w="120"/>
              <w:bottom w:type="dxa" w:w="80"/>
              <w:right w:type="dxa" w:w="120"/>
            </w:tcMar>
          </w:tcPr>
          <w:p>
            <w:r>
              <w:rPr>
                <w:b w:val="false"/>
                <w:bCs w:val="false"/>
                <w:color w:val="374151"/>
                <w:sz w:val="18"/>
                <w:szCs w:val="18"/>
              </w:rPr>
              <w:t xml:space="preserve">Each section's scenario-adjusted value</w:t>
            </w:r>
          </w:p>
        </w:tc>
        <w:tc>
          <w:tcPr>
            <w:tcW w:type="pct" w:w="42%"/>
            <w:shd w:color="FFFFFF" w:val="solid"/>
            <w:tcMar>
              <w:top w:type="dxa" w:w="80"/>
              <w:left w:type="dxa" w:w="120"/>
              <w:bottom w:type="dxa" w:w="80"/>
              <w:right w:type="dxa" w:w="120"/>
            </w:tcMar>
          </w:tcPr>
          <w:p>
            <w:r>
              <w:rPr>
                <w:b w:val="false"/>
                <w:bCs w:val="false"/>
                <w:color w:val="374151"/>
                <w:sz w:val="18"/>
                <w:szCs w:val="18"/>
              </w:rPr>
              <w:t xml:space="preserve">"Here's where the value comes from — and you can see the math behind every number."</w:t>
            </w:r>
          </w:p>
        </w:tc>
      </w:tr>
    </w:tbl>
    <w:p>
      <w:pPr>
        <w:spacing w:after="0" w:before="200"/>
      </w:pPr>
    </w:p>
    <w:p>
      <w:pPr>
        <w:spacing w:before="240"/>
        <w:jc w:val="center"/>
      </w:pPr>
      <w:r>
        <w:rPr>
          <w:i/>
          <w:iCs/>
          <w:color w:val="69758A"/>
          <w:sz w:val="16"/>
          <w:szCs w:val="16"/>
        </w:rPr>
        <w:t xml:space="preserve">Directional planning model — not a guarantee of results. All inputs should be validated with the customer before use in a final business case.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2026-08-03T05:03:35.511Z</dcterms:created>
  <dcterms:modified xsi:type="dcterms:W3CDTF">2026-08-03T05:03:35.511Z</dcterms:modified>
</cp:coreProperties>
</file>

<file path=docProps/custom.xml><?xml version="1.0" encoding="utf-8"?>
<Properties xmlns="http://schemas.openxmlformats.org/officeDocument/2006/custom-properties" xmlns:vt="http://schemas.openxmlformats.org/officeDocument/2006/docPropsVTypes"/>
</file>