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5F" w:sz="6" w:space="2"/>
        </w:pBdr>
        <w:spacing w:after="80"/>
      </w:pPr>
      <w:r>
        <w:rPr>
          <w:b/>
          <w:bCs/>
          <w:color w:val="1A3A5F"/>
          <w:sz w:val="28"/>
          <w:szCs w:val="28"/>
        </w:rPr>
        <w:t xml:space="preserve">Speaker Notes  ·  </w:t>
      </w:r>
      <w:r>
        <w:rPr>
          <w:i/>
          <w:iCs/>
          <w:color w:val="555F70"/>
          <w:sz w:val="18"/>
          <w:szCs w:val="18"/>
        </w:rPr>
        <w:t xml:space="preserve">Sizing, Not Signaling — FINM 33150 (Spring 2026)  ·  Pavlos Giannakis</w:t>
      </w:r>
    </w:p>
    <w:p>
      <w:pPr>
        <w:spacing w:after="60" w:before="180"/>
      </w:pPr>
      <w:r>
        <w:rPr>
          <w:b/>
          <w:bCs/>
          <w:color w:val="9A6B00"/>
          <w:sz w:val="18"/>
          <w:szCs w:val="18"/>
        </w:rPr>
        <w:t xml:space="preserve">S1</w:t>
      </w:r>
      <w:r>
        <w:rPr>
          <w:color w:val="555F70"/>
          <w:sz w:val="18"/>
          <w:szCs w:val="18"/>
        </w:rPr>
        <w:t xml:space="preserve"> · </w:t>
      </w:r>
      <w:r>
        <w:rPr>
          <w:b/>
          <w:bCs/>
          <w:color w:val="1A3A5F"/>
          <w:sz w:val="18"/>
          <w:szCs w:val="18"/>
        </w:rPr>
        <w:t xml:space="preserve">Title</w:t>
      </w:r>
    </w:p>
    <w:p>
      <w:pPr>
        <w:spacing w:after="80" w:line="280"/>
      </w:pPr>
      <w:r>
        <w:rPr>
          <w:color w:val="0C111D"/>
          <w:sz w:val="18"/>
          <w:szCs w:val="18"/>
        </w:rPr>
        <w:t xml:space="preserve">Hi, I'm Pavlos. The project is called Sizing, Not Signaling. It's an option-implied cross-asset allocation rule using exchange-traded funds, or ETFs. The repository link is on the slide if you want to follow along.</w:t>
      </w:r>
    </w:p>
    <w:p>
      <w:pPr>
        <w:spacing w:after="60" w:before="180"/>
      </w:pPr>
      <w:r>
        <w:rPr>
          <w:b/>
          <w:bCs/>
          <w:color w:val="9A6B00"/>
          <w:sz w:val="18"/>
          <w:szCs w:val="18"/>
        </w:rPr>
        <w:t xml:space="preserve">S2</w:t>
      </w:r>
      <w:r>
        <w:rPr>
          <w:color w:val="555F70"/>
          <w:sz w:val="18"/>
          <w:szCs w:val="18"/>
        </w:rPr>
        <w:t xml:space="preserve"> · </w:t>
      </w:r>
      <w:r>
        <w:rPr>
          <w:b/>
          <w:bCs/>
          <w:color w:val="1A3A5F"/>
          <w:sz w:val="18"/>
          <w:szCs w:val="18"/>
        </w:rPr>
        <w:t xml:space="preserve">The question</w:t>
      </w:r>
    </w:p>
    <w:p>
      <w:pPr>
        <w:spacing w:after="80" w:line="280"/>
      </w:pPr>
      <w:r>
        <w:rPr>
          <w:color w:val="0C111D"/>
          <w:sz w:val="18"/>
          <w:szCs w:val="18"/>
        </w:rPr>
        <w:t xml:space="preserve">The question for this project is simple. Can option-implied volatility help me size risk across a multi-asset portfolio?</w:t>
      </w:r>
    </w:p>
    <w:p>
      <w:pPr>
        <w:spacing w:after="80" w:line="280"/>
      </w:pPr>
      <w:r>
        <w:rPr>
          <w:color w:val="0C111D"/>
          <w:sz w:val="18"/>
          <w:szCs w:val="18"/>
        </w:rPr>
        <w:t xml:space="preserve">In my demo project, I tested whether option-implied signals could predict direction. They worked in-sample, but failed out-of-sample.</w:t>
      </w:r>
    </w:p>
    <w:p>
      <w:pPr>
        <w:spacing w:after="80" w:line="280"/>
      </w:pPr>
      <w:r>
        <w:rPr>
          <w:color w:val="0C111D"/>
          <w:sz w:val="18"/>
          <w:szCs w:val="18"/>
        </w:rPr>
        <w:t xml:space="preserve">Here I use the same data, but the goal is different. Implied volatility decides how big each position should be, not which way prices will go.</w:t>
      </w:r>
    </w:p>
    <w:p>
      <w:pPr>
        <w:spacing w:after="80" w:line="280"/>
      </w:pPr>
      <w:r>
        <w:rPr>
          <w:color w:val="0C111D"/>
          <w:sz w:val="18"/>
          <w:szCs w:val="18"/>
        </w:rPr>
        <w:t xml:space="preserve">The preview is on the right. The strategy turns one million dollars into 1.48 million with a worst drawdown of -14.5%. The equal-weight benchmark on the same eight funds ends higher at 2.64 million, but loses about 45% at its worst.</w:t>
      </w:r>
    </w:p>
    <w:p>
      <w:pPr>
        <w:spacing w:after="60" w:before="180"/>
      </w:pPr>
      <w:r>
        <w:rPr>
          <w:b/>
          <w:bCs/>
          <w:color w:val="9A6B00"/>
          <w:sz w:val="18"/>
          <w:szCs w:val="18"/>
        </w:rPr>
        <w:t xml:space="preserve">S3</w:t>
      </w:r>
      <w:r>
        <w:rPr>
          <w:color w:val="555F70"/>
          <w:sz w:val="18"/>
          <w:szCs w:val="18"/>
        </w:rPr>
        <w:t xml:space="preserve"> · </w:t>
      </w:r>
      <w:r>
        <w:rPr>
          <w:b/>
          <w:bCs/>
          <w:color w:val="1A3A5F"/>
          <w:sz w:val="18"/>
          <w:szCs w:val="18"/>
        </w:rPr>
        <w:t xml:space="preserve">The universe</w:t>
      </w:r>
    </w:p>
    <w:p>
      <w:pPr>
        <w:spacing w:after="80" w:line="280"/>
      </w:pPr>
      <w:r>
        <w:rPr>
          <w:color w:val="0C111D"/>
          <w:sz w:val="18"/>
          <w:szCs w:val="18"/>
        </w:rPr>
        <w:t xml:space="preserve">The universe is eight liquid US-listed exchange-traded funds.</w:t>
      </w:r>
    </w:p>
    <w:p>
      <w:pPr>
        <w:spacing w:after="80" w:line="280"/>
      </w:pPr>
      <w:r>
        <w:rPr>
          <w:color w:val="0C111D"/>
          <w:sz w:val="18"/>
          <w:szCs w:val="18"/>
        </w:rPr>
        <w:t xml:space="preserve">They cover large-cap equity through SPY — the S&amp;P 500 fund. Small caps through IWM — the iShares Russell 2000. Developed international markets through EFA — the iShares MSCI EAFE fund. Emerging markets through EEM — the iShares MSCI Emerging Markets fund. The technology sector through XLK. The financials sector through XLF. Gold through GLD — the SPDR Gold Trust. And long-duration Treasuries through TLT — the iShares 20-Plus Year Treasury Bond fund.</w:t>
      </w:r>
    </w:p>
    <w:p>
      <w:pPr>
        <w:spacing w:after="80" w:line="280"/>
      </w:pPr>
      <w:r>
        <w:rPr>
          <w:color w:val="0C111D"/>
          <w:sz w:val="18"/>
          <w:szCs w:val="18"/>
        </w:rPr>
        <w:t xml:space="preserve">I picked the single largest fund by assets under management for each slot, fixed as of end-2017. The selection was frozen before I looked at any out-of-sample data, so I didn't pick winners with hindsight.</w:t>
      </w:r>
    </w:p>
    <w:p>
      <w:pPr>
        <w:spacing w:after="60" w:before="180"/>
      </w:pPr>
      <w:r>
        <w:rPr>
          <w:b/>
          <w:bCs/>
          <w:color w:val="9A6B00"/>
          <w:sz w:val="18"/>
          <w:szCs w:val="18"/>
        </w:rPr>
        <w:t xml:space="preserve">S4</w:t>
      </w:r>
      <w:r>
        <w:rPr>
          <w:color w:val="555F70"/>
          <w:sz w:val="18"/>
          <w:szCs w:val="18"/>
        </w:rPr>
        <w:t xml:space="preserve"> · </w:t>
      </w:r>
      <w:r>
        <w:rPr>
          <w:b/>
          <w:bCs/>
          <w:color w:val="1A3A5F"/>
          <w:sz w:val="18"/>
          <w:szCs w:val="18"/>
        </w:rPr>
        <w:t xml:space="preserve">Mechanic 1 — IV sizing</w:t>
      </w:r>
    </w:p>
    <w:p>
      <w:pPr>
        <w:spacing w:after="80" w:line="280"/>
      </w:pPr>
      <w:r>
        <w:rPr>
          <w:color w:val="0C111D"/>
          <w:sz w:val="18"/>
          <w:szCs w:val="18"/>
        </w:rPr>
        <w:t xml:space="preserve">The first mechanic is position sizing. The formula on the slide says each leg's weight is proportional to a volatility target and a signal, scaled by a regime multiplier, divided by that asset's implied volatility.</w:t>
      </w:r>
    </w:p>
    <w:p>
      <w:pPr>
        <w:spacing w:after="80" w:line="280"/>
      </w:pPr>
      <w:r>
        <w:rPr>
          <w:color w:val="0C111D"/>
          <w:sz w:val="18"/>
          <w:szCs w:val="18"/>
        </w:rPr>
        <w:t xml:space="preserve">In plain words: when the option market prices high risk on an asset, I take a smaller position. When it prices low risk, I take a larger position.</w:t>
      </w:r>
    </w:p>
    <w:p>
      <w:pPr>
        <w:spacing w:after="80" w:line="280"/>
      </w:pPr>
      <w:r>
        <w:rPr>
          <w:color w:val="0C111D"/>
          <w:sz w:val="18"/>
          <w:szCs w:val="18"/>
        </w:rPr>
        <w:t xml:space="preserve">Every leg ends up contributing about the same dollar risk — not the same dollar capital. This is standard risk parity, but I use implied volatility instead of historical volatility, because implied volatility is forward-looking. It tells me what the market is pricing for risk right now.</w:t>
      </w:r>
    </w:p>
    <w:p>
      <w:pPr>
        <w:spacing w:after="60" w:before="180"/>
      </w:pPr>
      <w:r>
        <w:rPr>
          <w:b/>
          <w:bCs/>
          <w:color w:val="9A6B00"/>
          <w:sz w:val="18"/>
          <w:szCs w:val="18"/>
        </w:rPr>
        <w:t xml:space="preserve">S5</w:t>
      </w:r>
      <w:r>
        <w:rPr>
          <w:color w:val="555F70"/>
          <w:sz w:val="18"/>
          <w:szCs w:val="18"/>
        </w:rPr>
        <w:t xml:space="preserve"> · </w:t>
      </w:r>
      <w:r>
        <w:rPr>
          <w:b/>
          <w:bCs/>
          <w:color w:val="1A3A5F"/>
          <w:sz w:val="18"/>
          <w:szCs w:val="18"/>
        </w:rPr>
        <w:t xml:space="preserve">Mechanic 2 — macro stress gate</w:t>
      </w:r>
    </w:p>
    <w:p>
      <w:pPr>
        <w:spacing w:after="80" w:line="280"/>
      </w:pPr>
      <w:r>
        <w:rPr>
          <w:color w:val="0C111D"/>
          <w:sz w:val="18"/>
          <w:szCs w:val="18"/>
        </w:rPr>
        <w:t xml:space="preserve">The second mechanic is a macro stress gate. I build a composite stress signal from two inputs. VIX — the Chicago Board Options Exchange equity volatility index. And the Chicago Federal Reserve's National Financial Conditions Index, often shortened to NFCI.</w:t>
      </w:r>
    </w:p>
    <w:p>
      <w:pPr>
        <w:spacing w:after="80" w:line="280"/>
      </w:pPr>
      <w:r>
        <w:rPr>
          <w:color w:val="0C111D"/>
          <w:sz w:val="18"/>
          <w:szCs w:val="18"/>
        </w:rPr>
        <w:t xml:space="preserve">I use that composite to label each day as one of four regimes. Calm days run at 1.5 times gross exposure. Normal days, which are about 62% of the sample, run at 1.0. Stress days at half. Crisis days, the book is off.</w:t>
      </w:r>
    </w:p>
    <w:p>
      <w:pPr>
        <w:spacing w:after="80" w:line="280"/>
      </w:pPr>
      <w:r>
        <w:rPr>
          <w:color w:val="0C111D"/>
          <w:sz w:val="18"/>
          <w:szCs w:val="18"/>
        </w:rPr>
        <w:t xml:space="preserve">So the gate scales the total book. The first mechanic still decides how that total is distributed across the eight funds.</w:t>
      </w:r>
    </w:p>
    <w:p>
      <w:pPr>
        <w:spacing w:after="80" w:line="280"/>
      </w:pPr>
      <w:r>
        <w:rPr>
          <w:color w:val="0C111D"/>
          <w:sz w:val="18"/>
          <w:szCs w:val="18"/>
        </w:rPr>
        <w:t xml:space="preserve">The practical effect is the strategy was effectively flat through 2008-09 and through March 2020. That's where most of the drawdown reduction comes from.</w:t>
      </w:r>
    </w:p>
    <w:p>
      <w:pPr>
        <w:spacing w:after="60" w:before="180"/>
      </w:pPr>
      <w:r>
        <w:rPr>
          <w:b/>
          <w:bCs/>
          <w:color w:val="9A6B00"/>
          <w:sz w:val="18"/>
          <w:szCs w:val="18"/>
        </w:rPr>
        <w:t xml:space="preserve">S6</w:t>
      </w:r>
      <w:r>
        <w:rPr>
          <w:color w:val="555F70"/>
          <w:sz w:val="18"/>
          <w:szCs w:val="18"/>
        </w:rPr>
        <w:t xml:space="preserve"> · </w:t>
      </w:r>
      <w:r>
        <w:rPr>
          <w:b/>
          <w:bCs/>
          <w:color w:val="1A3A5F"/>
          <w:sz w:val="18"/>
          <w:szCs w:val="18"/>
        </w:rPr>
        <w:t xml:space="preserve">Discipline — frozen parameters</w:t>
      </w:r>
    </w:p>
    <w:p>
      <w:pPr>
        <w:spacing w:after="80" w:line="280"/>
      </w:pPr>
      <w:r>
        <w:rPr>
          <w:color w:val="0C111D"/>
          <w:sz w:val="18"/>
          <w:szCs w:val="18"/>
        </w:rPr>
        <w:t xml:space="preserve">Discipline is the whole point of this slide. Every parameter — the volatility target, the gross exposure cap, the regime thresholds, the regime multipliers, the drawdown kill-switch — was tuned only on the 2008 to 2017 window.</w:t>
      </w:r>
    </w:p>
    <w:p>
      <w:pPr>
        <w:spacing w:after="80" w:line="280"/>
      </w:pPr>
      <w:r>
        <w:rPr>
          <w:color w:val="0C111D"/>
          <w:sz w:val="18"/>
          <w:szCs w:val="18"/>
        </w:rPr>
        <w:t xml:space="preserve">Then I saved them to a frozen specification file at end-2017 and never changed them again. So the 2018 to 2024 results are a real out-of-sample test of a fixed rule.</w:t>
      </w:r>
    </w:p>
    <w:p>
      <w:pPr>
        <w:spacing w:after="80" w:line="280"/>
      </w:pPr>
      <w:r>
        <w:rPr>
          <w:color w:val="0C111D"/>
          <w:sz w:val="18"/>
          <w:szCs w:val="18"/>
        </w:rPr>
        <w:t xml:space="preserve">The numbers: in-sample Sharpe ratio of 0.47 with an 11% drawdown. Out-of-sample Sharpe drops to 0.28 with a 14.5% drawdown. Performance decays — that's expected — but it stays positive.</w:t>
      </w:r>
    </w:p>
    <w:p>
      <w:pPr>
        <w:spacing w:after="60" w:before="180"/>
      </w:pPr>
      <w:r>
        <w:rPr>
          <w:b/>
          <w:bCs/>
          <w:color w:val="9A6B00"/>
          <w:sz w:val="18"/>
          <w:szCs w:val="18"/>
        </w:rPr>
        <w:t xml:space="preserve">S7</w:t>
      </w:r>
      <w:r>
        <w:rPr>
          <w:color w:val="555F70"/>
          <w:sz w:val="18"/>
          <w:szCs w:val="18"/>
        </w:rPr>
        <w:t xml:space="preserve"> · </w:t>
      </w:r>
      <w:r>
        <w:rPr>
          <w:b/>
          <w:bCs/>
          <w:color w:val="1A3A5F"/>
          <w:sz w:val="18"/>
          <w:szCs w:val="18"/>
        </w:rPr>
        <w:t xml:space="preserve">Headline result</w:t>
      </w:r>
    </w:p>
    <w:p>
      <w:pPr>
        <w:spacing w:after="80" w:line="280"/>
      </w:pPr>
      <w:r>
        <w:rPr>
          <w:color w:val="0C111D"/>
          <w:sz w:val="18"/>
          <w:szCs w:val="18"/>
        </w:rPr>
        <w:t xml:space="preserve">Headline. One million dollars of starting capital grows to 1.48 million. The benchmark — a daily-rebalanced equal-weight portfolio of the same eight funds — ends at 2.64 million. So the strategy underperforms by about 1.16 million in terminal wealth.</w:t>
      </w:r>
    </w:p>
    <w:p>
      <w:pPr>
        <w:spacing w:after="80" w:line="280"/>
      </w:pPr>
      <w:r>
        <w:rPr>
          <w:color w:val="0C111D"/>
          <w:sz w:val="18"/>
          <w:szCs w:val="18"/>
        </w:rPr>
        <w:t xml:space="preserve">The trade-off is in the drawdown column. My worst drawdown is -14.5%. The benchmark's is -45%. About a third of the depth. Annualised volatility is 6.4% versus 16.9% — a much smoother ride. Sharpe ratios are basically tied at 0.40 and 0.42.</w:t>
      </w:r>
    </w:p>
    <w:p>
      <w:pPr>
        <w:spacing w:after="80" w:line="280"/>
      </w:pPr>
      <w:r>
        <w:rPr>
          <w:color w:val="0C111D"/>
          <w:sz w:val="18"/>
          <w:szCs w:val="18"/>
        </w:rPr>
        <w:t xml:space="preserve">So I'm not winning on returns. I'm giving up returns in exchange for risk control.</w:t>
      </w:r>
    </w:p>
    <w:p>
      <w:pPr>
        <w:spacing w:after="60" w:before="180"/>
      </w:pPr>
      <w:r>
        <w:rPr>
          <w:b/>
          <w:bCs/>
          <w:color w:val="9A6B00"/>
          <w:sz w:val="18"/>
          <w:szCs w:val="18"/>
        </w:rPr>
        <w:t xml:space="preserve">S8</w:t>
      </w:r>
      <w:r>
        <w:rPr>
          <w:color w:val="555F70"/>
          <w:sz w:val="18"/>
          <w:szCs w:val="18"/>
        </w:rPr>
        <w:t xml:space="preserve"> · </w:t>
      </w:r>
      <w:r>
        <w:rPr>
          <w:b/>
          <w:bCs/>
          <w:color w:val="1A3A5F"/>
          <w:sz w:val="18"/>
          <w:szCs w:val="18"/>
        </w:rPr>
        <w:t xml:space="preserve">Held-out validation</w:t>
      </w:r>
    </w:p>
    <w:p>
      <w:pPr>
        <w:spacing w:after="80" w:line="280"/>
      </w:pPr>
      <w:r>
        <w:rPr>
          <w:color w:val="0C111D"/>
          <w:sz w:val="18"/>
          <w:szCs w:val="18"/>
        </w:rPr>
        <w:t xml:space="preserve">This is the held-out validation. The point estimates are 0.47 in-sample and 0.28 out-of-sample.</w:t>
      </w:r>
    </w:p>
    <w:p>
      <w:pPr>
        <w:spacing w:after="80" w:line="280"/>
      </w:pPr>
      <w:r>
        <w:rPr>
          <w:color w:val="0C111D"/>
          <w:sz w:val="18"/>
          <w:szCs w:val="18"/>
        </w:rPr>
        <w:t xml:space="preserve">The violin shapes show what happens if I resample the daily returns with replacement and recompute the Sharpe ratio a thousand times. They give me a confidence interval around each estimate.</w:t>
      </w:r>
    </w:p>
    <w:p>
      <w:pPr>
        <w:spacing w:after="80" w:line="280"/>
      </w:pPr>
      <w:r>
        <w:rPr>
          <w:color w:val="0C111D"/>
          <w:sz w:val="18"/>
          <w:szCs w:val="18"/>
        </w:rPr>
        <w:t xml:space="preserve">The 5 to 95 percent intervals overlap. In-sample runs roughly from minus 0.14 to plus 0.99. Out-of-sample runs from minus 0.33 to plus 0.98. Each point estimate sits inside the other window's interval.</w:t>
      </w:r>
    </w:p>
    <w:p>
      <w:pPr>
        <w:spacing w:after="80" w:line="280"/>
      </w:pPr>
      <w:r>
        <w:rPr>
          <w:color w:val="0C111D"/>
          <w:sz w:val="18"/>
          <w:szCs w:val="18"/>
        </w:rPr>
        <w:t xml:space="preserve">That doesn't prove the strategy isn't overfit, but it rules out a sharp collapse. The decay is moderate, not 'the strategy stopped working.'</w:t>
      </w:r>
    </w:p>
    <w:p>
      <w:pPr>
        <w:spacing w:after="60" w:before="180"/>
      </w:pPr>
      <w:r>
        <w:rPr>
          <w:b/>
          <w:bCs/>
          <w:color w:val="9A6B00"/>
          <w:sz w:val="18"/>
          <w:szCs w:val="18"/>
        </w:rPr>
        <w:t xml:space="preserve">S9</w:t>
      </w:r>
      <w:r>
        <w:rPr>
          <w:color w:val="555F70"/>
          <w:sz w:val="18"/>
          <w:szCs w:val="18"/>
        </w:rPr>
        <w:t xml:space="preserve"> · </w:t>
      </w:r>
      <w:r>
        <w:rPr>
          <w:b/>
          <w:bCs/>
          <w:color w:val="1A3A5F"/>
          <w:sz w:val="18"/>
          <w:szCs w:val="18"/>
        </w:rPr>
        <w:t xml:space="preserve">Where the returns came from</w:t>
      </w:r>
    </w:p>
    <w:p>
      <w:pPr>
        <w:spacing w:after="80" w:line="280"/>
      </w:pPr>
      <w:r>
        <w:rPr>
          <w:color w:val="0C111D"/>
          <w:sz w:val="18"/>
          <w:szCs w:val="18"/>
        </w:rPr>
        <w:t xml:space="preserve">Per-asset cumulative dollar P&amp;L on a one-million-dollar book. The picture is concentrated.</w:t>
      </w:r>
    </w:p>
    <w:p>
      <w:pPr>
        <w:spacing w:after="80" w:line="280"/>
      </w:pPr>
      <w:r>
        <w:rPr>
          <w:color w:val="0C111D"/>
          <w:sz w:val="18"/>
          <w:szCs w:val="18"/>
        </w:rPr>
        <w:t xml:space="preserve">The tech fund, XLK, contributed plus 140 thousand dollars. SPY — the S&amp;P 500 — contributed 111 thousand. GLD, the gold fund, added 91 thousand. That's notable, because gold's correlation with the equity legs is near zero, which is exactly the diversification value you want. The financials sector, XLF, and small caps, IWM, added the next tier — about 68 and 59 thousand.</w:t>
      </w:r>
    </w:p>
    <w:p>
      <w:pPr>
        <w:spacing w:after="80" w:line="280"/>
      </w:pPr>
      <w:r>
        <w:rPr>
          <w:color w:val="0C111D"/>
          <w:sz w:val="18"/>
          <w:szCs w:val="18"/>
        </w:rPr>
        <w:t xml:space="preserve">The international equity funds — EFA for developed markets and EEM for emerging markets — contributed slightly negative on a risk-sized basis. TLT, the long-duration Treasury fund, added a small positive.</w:t>
      </w:r>
    </w:p>
    <w:p>
      <w:pPr>
        <w:spacing w:after="80" w:line="280"/>
      </w:pPr>
      <w:r>
        <w:rPr>
          <w:color w:val="0C111D"/>
          <w:sz w:val="18"/>
          <w:szCs w:val="18"/>
        </w:rPr>
        <w:t xml:space="preserve">So the returns came from US equity and gold. International exposures didn't pay over this period.</w:t>
      </w:r>
    </w:p>
    <w:p>
      <w:pPr>
        <w:spacing w:after="60" w:before="180"/>
      </w:pPr>
      <w:r>
        <w:rPr>
          <w:b/>
          <w:bCs/>
          <w:color w:val="9A6B00"/>
          <w:sz w:val="18"/>
          <w:szCs w:val="18"/>
        </w:rPr>
        <w:t xml:space="preserve">S10</w:t>
      </w:r>
      <w:r>
        <w:rPr>
          <w:color w:val="555F70"/>
          <w:sz w:val="18"/>
          <w:szCs w:val="18"/>
        </w:rPr>
        <w:t xml:space="preserve"> · </w:t>
      </w:r>
      <w:r>
        <w:rPr>
          <w:b/>
          <w:bCs/>
          <w:color w:val="1A3A5F"/>
          <w:sz w:val="18"/>
          <w:szCs w:val="18"/>
        </w:rPr>
        <w:t xml:space="preserve">Regime behaviour</w:t>
      </w:r>
    </w:p>
    <w:p>
      <w:pPr>
        <w:spacing w:after="80" w:line="280"/>
      </w:pPr>
      <w:r>
        <w:rPr>
          <w:color w:val="0C111D"/>
          <w:sz w:val="18"/>
          <w:szCs w:val="18"/>
        </w:rPr>
        <w:t xml:space="preserve">The top panel is the composite stress index with the macro events labelled. The global financial crisis peak in 2008. The US sovereign credit downgrade in 2011. The China growth shock in 2015. The February 2018 volatility spike known as Volmageddon. The COVID crash in March 2020. The 2022 Federal Reserve rate-hike cycle. And the Silicon Valley Bank failure in March 2023.</w:t>
      </w:r>
    </w:p>
    <w:p>
      <w:pPr>
        <w:spacing w:after="80" w:line="280"/>
      </w:pPr>
      <w:r>
        <w:rPr>
          <w:color w:val="0C111D"/>
          <w:sz w:val="18"/>
          <w:szCs w:val="18"/>
        </w:rPr>
        <w:t xml:space="preserve">The middle panel is the gross multiplier through time. You can see it going to zero through the worst of 2008-09 and through March 2020.</w:t>
      </w:r>
    </w:p>
    <w:p>
      <w:pPr>
        <w:spacing w:after="80" w:line="280"/>
      </w:pPr>
      <w:r>
        <w:rPr>
          <w:color w:val="0C111D"/>
          <w:sz w:val="18"/>
          <w:szCs w:val="18"/>
        </w:rPr>
        <w:t xml:space="preserve">On the right are the average daily returns by regime. Calm days average plus 8 basis points — about 8 hundredths of a percent. Normal days are roughly flat. Stress days lose 9 basis points. Crisis days lose 4.</w:t>
      </w:r>
    </w:p>
    <w:p>
      <w:pPr>
        <w:spacing w:after="80" w:line="280"/>
      </w:pPr>
      <w:r>
        <w:rPr>
          <w:color w:val="0C111D"/>
          <w:sz w:val="18"/>
          <w:szCs w:val="18"/>
        </w:rPr>
        <w:t xml:space="preserve">So the gate doesn't turn losing regimes into winners. It shrinks the position in regimes where the book would otherwise lose more.</w:t>
      </w:r>
    </w:p>
    <w:p>
      <w:pPr>
        <w:spacing w:after="60" w:before="180"/>
      </w:pPr>
      <w:r>
        <w:rPr>
          <w:b/>
          <w:bCs/>
          <w:color w:val="9A6B00"/>
          <w:sz w:val="18"/>
          <w:szCs w:val="18"/>
        </w:rPr>
        <w:t xml:space="preserve">S11</w:t>
      </w:r>
      <w:r>
        <w:rPr>
          <w:color w:val="555F70"/>
          <w:sz w:val="18"/>
          <w:szCs w:val="18"/>
        </w:rPr>
        <w:t xml:space="preserve"> · </w:t>
      </w:r>
      <w:r>
        <w:rPr>
          <w:b/>
          <w:bCs/>
          <w:color w:val="1A3A5F"/>
          <w:sz w:val="18"/>
          <w:szCs w:val="18"/>
        </w:rPr>
        <w:t xml:space="preserve">What this project shows</w:t>
      </w:r>
    </w:p>
    <w:p>
      <w:pPr>
        <w:spacing w:after="80" w:line="280"/>
      </w:pPr>
      <w:r>
        <w:rPr>
          <w:color w:val="0C111D"/>
          <w:sz w:val="18"/>
          <w:szCs w:val="18"/>
        </w:rPr>
        <w:t xml:space="preserve">Three takeaways.</w:t>
      </w:r>
    </w:p>
    <w:p>
      <w:pPr>
        <w:spacing w:after="80" w:line="280"/>
      </w:pPr>
      <w:r>
        <w:rPr>
          <w:color w:val="0C111D"/>
          <w:sz w:val="18"/>
          <w:szCs w:val="18"/>
        </w:rPr>
        <w:t xml:space="preserve">First, sizing beat signaling. The same option data that failed as a directional predictor in my demo worked as a risk-sizing input here. Out-of-sample Sharpe decayed but stayed positive.</w:t>
      </w:r>
    </w:p>
    <w:p>
      <w:pPr>
        <w:spacing w:after="80" w:line="280"/>
      </w:pPr>
      <w:r>
        <w:rPr>
          <w:color w:val="0C111D"/>
          <w:sz w:val="18"/>
          <w:szCs w:val="18"/>
        </w:rPr>
        <w:t xml:space="preserve">Second, smoother path, not higher returns. The strategy ends at 1.48 million versus 2.64 for the benchmark. But the drawdown is a third of the size, and the volatility is roughly a third of the size. Useful for an allocator that cares about path.</w:t>
      </w:r>
    </w:p>
    <w:p>
      <w:pPr>
        <w:spacing w:after="80" w:line="280"/>
      </w:pPr>
      <w:r>
        <w:rPr>
          <w:color w:val="0C111D"/>
          <w:sz w:val="18"/>
          <w:szCs w:val="18"/>
        </w:rPr>
        <w:t xml:space="preserve">Third, the gate did its job. Most of the drawdown reduction comes from scaling exposure in stress, not from picking better assets.</w:t>
      </w:r>
    </w:p>
    <w:p>
      <w:pPr>
        <w:spacing w:after="60" w:before="180"/>
      </w:pPr>
      <w:r>
        <w:rPr>
          <w:b/>
          <w:bCs/>
          <w:color w:val="9A6B00"/>
          <w:sz w:val="18"/>
          <w:szCs w:val="18"/>
        </w:rPr>
        <w:t xml:space="preserve">S12</w:t>
      </w:r>
      <w:r>
        <w:rPr>
          <w:color w:val="555F70"/>
          <w:sz w:val="18"/>
          <w:szCs w:val="18"/>
        </w:rPr>
        <w:t xml:space="preserve"> · </w:t>
      </w:r>
      <w:r>
        <w:rPr>
          <w:b/>
          <w:bCs/>
          <w:color w:val="1A3A5F"/>
          <w:sz w:val="18"/>
          <w:szCs w:val="18"/>
        </w:rPr>
        <w:t xml:space="preserve">Limitations &amp; references</w:t>
      </w:r>
    </w:p>
    <w:p>
      <w:pPr>
        <w:spacing w:after="80" w:line="280"/>
      </w:pPr>
      <w:r>
        <w:rPr>
          <w:color w:val="0C111D"/>
          <w:sz w:val="18"/>
          <w:szCs w:val="18"/>
        </w:rPr>
        <w:t xml:space="preserve">Limitations. The universe is fixed at end-2017 and not refreshed. Weekly rebalance is a design choice. Four discrete regime buckets is simple — a smoother exposure function would be a natural extension. The crisis bucket has only 52 observations, so those statistics are descriptive rather than properly estimated.</w:t>
      </w:r>
    </w:p>
    <w:p>
      <w:pPr>
        <w:spacing w:after="80" w:line="280"/>
      </w:pPr>
      <w:r>
        <w:rPr>
          <w:color w:val="0C111D"/>
          <w:sz w:val="18"/>
          <w:szCs w:val="18"/>
        </w:rPr>
        <w:t xml:space="preserve">On readings: I drew on Harvey and Liu for backtesting discipline and multiple-testing concerns, and on the Pacific Investment Management Company paper from 2013 for the instability of cross-asset correlations across regimes.</w:t>
      </w:r>
    </w:p>
    <w:p>
      <w:pPr>
        <w:spacing w:after="80" w:line="280"/>
      </w:pPr>
      <w:r>
        <w:rPr>
          <w:color w:val="0C111D"/>
          <w:sz w:val="18"/>
          <w:szCs w:val="18"/>
        </w:rPr>
        <w:t xml:space="preserve">Thank you — happy to take questions.</w:t>
      </w:r>
    </w:p>
    <w:p>
      <w:pPr>
        <w:spacing w:after="80" w:line="280"/>
      </w:pPr>
      <w:r>
        <w:rPr>
          <w:color w:val="0C111D"/>
          <w:sz w:val="18"/>
          <w:szCs w:val="18"/>
        </w:rPr>
        <w:t xml:space="preserve">FALLBACK: "I didn't test that — natural extension."</w:t>
      </w:r>
    </w:p>
    <w:p>
      <w:pPr>
        <w:spacing w:after="80" w:line="280"/>
      </w:pPr>
      <w:r>
        <w:rPr>
          <w:color w:val="0C111D"/>
          <w:sz w:val="18"/>
          <w:szCs w:val="18"/>
        </w:rPr>
        <w:t xml:space="preserve">NUMBERS: 1.48M vs 2.64M  ·  -14.5% vs -45.2%  ·  +0.40 vs +0.42  ·  IS +0.47 → OOS +0.28  ·  CIs [-0.14, +0.99] / [-0.33, +0.98]</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Notes — Sizing, Not Signaling</dc:title>
  <dc:creator>Pavlos Giannakis</dc:creator>
  <cp:lastModifiedBy>Un-named</cp:lastModifiedBy>
  <cp:revision>1</cp:revision>
  <dcterms:created xsi:type="dcterms:W3CDTF">2026-05-26T20:12:21.822Z</dcterms:created>
  <dcterms:modified xsi:type="dcterms:W3CDTF">2026-05-26T20:12:21.822Z</dcterms:modified>
</cp:coreProperties>
</file>

<file path=docProps/custom.xml><?xml version="1.0" encoding="utf-8"?>
<Properties xmlns="http://schemas.openxmlformats.org/officeDocument/2006/custom-properties" xmlns:vt="http://schemas.openxmlformats.org/officeDocument/2006/docPropsVTypes"/>
</file>