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IntraMax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-2.94e-04***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-8.95e-05***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9.58e-05***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-3.07e-04***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-9.78e-05***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8.76e-05***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[-3.48e-04, -2.40e-04]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[-1.00e-04, -7.88e-05]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[9.32e-05,  9.84e-05]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[-3.64e-04, -2.49e-04]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[-1.09e-04, -8.63e-05]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[7.53e-05,  9.99e-05]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2.41e-05***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1.14e-06***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1.56e-07***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2.45e-05***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1.24e-06***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3.98e-07***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[2.17e-05,  2.64e-05]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[1.04e-06,  1.23e-06]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[1.14e-07,  1.97e-07]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[2.20e-05,  2.71e-05]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[1.14e-06,  1.35e-06]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[2.67e-07,  5.29e-07]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-1.98e-04***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-3.37e-04***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-2.70e-04***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-3.50e-04***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[-2.81e-04, -2.38e-04]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[-2.17e-04, -1.78e-04]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[-3.56e-04, -3.18e-04]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[-2.93e-04, -2.48e-04]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[-2.40e-04, -1.98e-04]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[-3.71e-04, -3.30e-04]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   0.011]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   0.011]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5,139,614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5,058,235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166,232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165,962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