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IntraMax (cloglog,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[1.00,    1.00]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[0.99,    0.99]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[1.41,    1.51]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[1.26,    1.34]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[1.43,    1.54]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[1.37,    1.46]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[1.25,    1.33]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[1.41,    1.51]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[0.67,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[0.68,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[0.69,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[0.69,    0.71]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[1.79,    1.92]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[1.78,    1.90]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[1.63,    1.76]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[1.84,    1.97]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[1.82,    1.95]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[1.68,    1.81]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[1.47,    1.84]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[1.47,    1.84]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[1.27,    1.66]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[1.38,    1.75]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[1.39,    1.75]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[1.18,    1.57]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[0.50,    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[0.43,    0.65]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[0.56,    0.78]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[0.47,    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[3.53,    4.20]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[3.57,    4.25]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[2.96,    3.66]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[2.81,    3.27]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[2.84,    3.30]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[2.37,    2.86]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[3.33,    4.47]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[3.36,    4.51]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[2.66,    3.90]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[3.24,    4.33]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[3.27,    4.37]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[2.57,    3.74]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Log-likelihood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-412647.7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-412640.1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-360692.3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-427389.2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-427318.8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-371865.1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