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before="0"/>
      </w:pPr>
      <w:r>
        <w:t xml:space="preserve">Book Proposal</w:t>
      </w:r>
    </w:p>
    <w:p>
      <w:pPr>
        <w:spacing w:after="160" w:line="276"/>
      </w:pPr>
      <w:r>
        <w:rPr>
          <w:b/>
          <w:bCs/>
        </w:rPr>
        <w:t xml:space="preserve">Project Risk Analysis: A Practical Guide — From Monte Carlo to AI Agents</w:t>
      </w:r>
    </w:p>
    <w:p>
      <w:pPr>
        <w:pBdr>
          <w:left w:val="single" w:color="BBBBBB" w:sz="12" w:space="10"/>
        </w:pBdr>
        <w:spacing w:after="200" w:before="120"/>
        <w:ind w:left="504"/>
      </w:pPr>
      <w:r>
        <w:rPr>
          <w:b/>
          <w:bCs/>
          <w:i/>
          <w:iCs/>
          <w:color w:val="444444"/>
        </w:rPr>
        <w:t xml:space="preserve">Drafting note — delete before submitting.</w:t>
      </w:r>
      <w:r>
        <w:rPr>
          <w:i/>
          <w:iCs/>
          <w:color w:val="444444"/>
        </w:rPr>
        <w:t xml:space="preserve"> This is a first draft assembled from the manuscript in this repository, with every count, title, and figure verified against the source files. Publishers increasingly ask that proposals not be generated by AI, and some will decline to review one they suspect was. Treat this as a fact-checked scaffold and rewrite it in your own voice. Sections 12 and 13 contain items only the author can answer.</w:t>
      </w:r>
    </w:p>
    <w:p>
      <w:pPr>
        <w:pStyle w:val="Heading1"/>
        <w:spacing w:after="160" w:before="320"/>
      </w:pPr>
      <w:r>
        <w:t xml:space="preserve">1. Proposed Title</w:t>
      </w:r>
    </w:p>
    <w:p>
      <w:pPr>
        <w:spacing w:after="160" w:line="276"/>
      </w:pPr>
      <w:r>
        <w:rPr>
          <w:b/>
          <w:bCs/>
        </w:rPr>
        <w:t xml:space="preserve">Project Risk Analysis: A Practical Guide</w:t>
      </w:r>
      <w:r>
        <w:t xml:space="preserve"> Subtitle: </w:t>
      </w:r>
      <w:r>
        <w:rPr>
          <w:i/>
          <w:iCs/>
        </w:rPr>
        <w:t xml:space="preserve">From Monte Carlo to AI Agents</w:t>
      </w:r>
    </w:p>
    <w:p>
      <w:pPr>
        <w:pStyle w:val="Heading1"/>
        <w:spacing w:after="160" w:before="320"/>
      </w:pPr>
      <w:r>
        <w:t xml:space="preserve">2. Author</w:t>
      </w:r>
    </w:p>
    <w:p>
      <w:pPr>
        <w:spacing w:after="160" w:line="276"/>
      </w:pPr>
      <w:r>
        <w:t xml:space="preserve">Paul Govan, Senior Engineer, GE Aerospace paul.govan2@gmail.com · ORCID </w:t>
      </w:r>
      <w:hyperlink w:history="1" r:id="rIdqrpqytmqyw2fsvd4imws-">
        <w:r>
          <w:rPr>
            <w:rStyle w:val="Hyperlink"/>
          </w:rPr>
          <w:t xml:space="preserve">0000-0002-1821-8492</w:t>
        </w:r>
      </w:hyperlink>
    </w:p>
    <w:p>
      <w:pPr>
        <w:pStyle w:val="Heading1"/>
        <w:spacing w:after="160" w:before="320"/>
      </w:pPr>
      <w:r>
        <w:t xml:space="preserve">3. Topic</w:t>
      </w:r>
    </w:p>
    <w:p>
      <w:pPr>
        <w:spacing w:after="160" w:line="276"/>
      </w:pPr>
      <w:r>
        <w:t xml:space="preserve">This is a hands-on introduction to the quantitative methods used to manage uncertainty in project schedules and costs. It introduces each method alongside the open-source R code that implements it, so readers learn the technique and how to run it at the same time. The book covers Monte Carlo simulation, the second moment method, sensitivity analysis, earned value management, Bayesian risk inference, sigmoidal learning curves, design structure matrices, and probabilistic networks — all built on the </w:t>
      </w:r>
      <w:r>
        <w:rPr>
          <w:rFonts w:ascii="Consolas" w:cs="Consolas" w:eastAsia="Consolas" w:hAnsi="Consolas"/>
          <w:sz w:val="20"/>
          <w:szCs w:val="20"/>
        </w:rPr>
        <w:t xml:space="preserve">PRA</w:t>
      </w:r>
      <w:r>
        <w:t xml:space="preserve"> package published on CRAN.</w:t>
      </w:r>
    </w:p>
    <w:p>
      <w:pPr>
        <w:spacing w:after="160" w:line="276"/>
      </w:pPr>
      <w:r>
        <w:t xml:space="preserve">The book's argument is that project risk analysis has a tooling problem, not a theory problem. The underlying mathematics has been settled for decades. What practitioners lack is a way to run it that is reproducible and auditable. Most of this work still happens in spreadsheets, where a broken formula or a range that ends three rows short can silently change a P95 estimate that then goes on to justify a contingency reserve. Every example in this book is executable R code rather than a static screenshot, and the book itself is rendered by executing that code against the live package, so no printed result is transcribed by hand.</w:t>
      </w:r>
    </w:p>
    <w:p>
      <w:pPr>
        <w:spacing w:after="160" w:line="276"/>
      </w:pPr>
      <w:r>
        <w:t xml:space="preserve">The goal for the reader is concrete: take a project estimate, ask the right "what if" questions, and produce defensible numbers for schedule and cost contingency.</w:t>
      </w:r>
    </w:p>
    <w:p>
      <w:pPr>
        <w:pStyle w:val="Heading1"/>
        <w:spacing w:after="160" w:before="320"/>
      </w:pPr>
      <w:r>
        <w:t xml:space="preserve">4. Why This Topic, Why Now</w:t>
      </w:r>
    </w:p>
    <w:p>
      <w:pPr>
        <w:spacing w:after="160" w:line="276"/>
      </w:pPr>
      <w:r>
        <w:t xml:space="preserve">Two developments make this the right moment for this book.</w:t>
      </w:r>
    </w:p>
    <w:p>
      <w:pPr>
        <w:spacing w:after="160" w:line="276"/>
      </w:pPr>
      <w:r>
        <w:rPr>
          <w:b/>
          <w:bCs/>
        </w:rPr>
        <w:t xml:space="preserve">Reproducibility has become an expectation.</w:t>
      </w:r>
      <w:r>
        <w:t xml:space="preserve"> Risk estimates increasingly have to survive audit, and "trust the spreadsheet" no longer clears that bar. A literate-programming workflow — analysis and narrative in one document, rendered fresh on every build — is now standard practice in data-driven fields and is arriving in project controls. A full chapter covers building auditable, version-controlled risk reports in Quarto, including parameterized reports that re-run across projects and scenarios.</w:t>
      </w:r>
    </w:p>
    <w:p>
      <w:pPr>
        <w:spacing w:after="160" w:line="276"/>
      </w:pPr>
      <w:r>
        <w:rPr>
          <w:b/>
          <w:bCs/>
        </w:rPr>
        <w:t xml:space="preserve">AI agents can now drive analytical tooling directly.</w:t>
      </w:r>
      <w:r>
        <w:t xml:space="preserve"> The </w:t>
      </w:r>
      <w:r>
        <w:rPr>
          <w:rFonts w:ascii="Consolas" w:cs="Consolas" w:eastAsia="Consolas" w:hAnsi="Consolas"/>
          <w:sz w:val="20"/>
          <w:szCs w:val="20"/>
        </w:rPr>
        <w:t xml:space="preserve">PRA</w:t>
      </w:r>
      <w:r>
        <w:t xml:space="preserve"> package exposes its analytical functions as tools over the Model Context Protocol and ships Agent Skills that tell an agent when and how to call each one. A project manager can ask for a P95 date and a contingency reserve in plain language and get back a real computed result rather than a plausible-sounding estimate. No existing project risk text treats this subject.</w:t>
      </w:r>
    </w:p>
    <w:p>
      <w:pPr>
        <w:spacing w:after="160" w:line="276"/>
      </w:pPr>
      <w:r>
        <w:t xml:space="preserve">Monte Carlo simulation is well-trodden ground and is treated here as table stakes. The distinctive contribution is the workflow wrapped around it: reproducible, tested, version-controllable, and agent-addressable.</w:t>
      </w:r>
    </w:p>
    <w:p>
      <w:pPr>
        <w:pStyle w:val="Heading1"/>
        <w:spacing w:after="160" w:before="320"/>
      </w:pPr>
      <w:r>
        <w:t xml:space="preserve">5. Audience</w:t>
      </w:r>
    </w:p>
    <w:p>
      <w:pPr>
        <w:spacing w:after="160" w:line="276"/>
      </w:pPr>
      <w:r>
        <w:t xml:space="preserve">The primary readers are:</w:t>
      </w:r>
    </w:p>
    <w:p>
      <w:pPr>
        <w:pStyle w:val="ListParagraph"/>
        <w:numPr>
          <w:ilvl w:val="0"/>
          <w:numId w:val="2"/>
        </w:numPr>
        <w:spacing w:after="100" w:line="276"/>
      </w:pPr>
      <w:r>
        <w:rPr>
          <w:b/>
          <w:bCs/>
        </w:rPr>
        <w:t xml:space="preserve">Project managers and controls engineers</w:t>
      </w:r>
      <w:r>
        <w:t xml:space="preserve"> moving from spreadsheets or commercial simulation add-ins toward reproducible workflows</w:t>
      </w:r>
    </w:p>
    <w:p>
      <w:pPr>
        <w:pStyle w:val="ListParagraph"/>
        <w:numPr>
          <w:ilvl w:val="0"/>
          <w:numId w:val="2"/>
        </w:numPr>
        <w:spacing w:after="100" w:line="276"/>
      </w:pPr>
      <w:r>
        <w:rPr>
          <w:b/>
          <w:bCs/>
        </w:rPr>
        <w:t xml:space="preserve">Engineers and analysts</w:t>
      </w:r>
      <w:r>
        <w:t xml:space="preserve"> who know statistics but have not applied it to project risk</w:t>
      </w:r>
    </w:p>
    <w:p>
      <w:pPr>
        <w:pStyle w:val="ListParagraph"/>
        <w:numPr>
          <w:ilvl w:val="0"/>
          <w:numId w:val="2"/>
        </w:numPr>
        <w:spacing w:after="100" w:line="276"/>
      </w:pPr>
      <w:r>
        <w:rPr>
          <w:b/>
          <w:bCs/>
        </w:rPr>
        <w:t xml:space="preserve">Data scientists</w:t>
      </w:r>
      <w:r>
        <w:t xml:space="preserve"> supporting a project controls or PMO function</w:t>
      </w:r>
    </w:p>
    <w:p>
      <w:pPr>
        <w:pStyle w:val="ListParagraph"/>
        <w:numPr>
          <w:ilvl w:val="0"/>
          <w:numId w:val="2"/>
        </w:numPr>
        <w:spacing w:after="100" w:line="276"/>
      </w:pPr>
      <w:r>
        <w:rPr>
          <w:b/>
          <w:bCs/>
        </w:rPr>
        <w:t xml:space="preserve">Students and instructors</w:t>
      </w:r>
      <w:r>
        <w:t xml:space="preserve"> in construction management, systems engineering, and operations research</w:t>
      </w:r>
    </w:p>
    <w:p>
      <w:pPr>
        <w:pStyle w:val="ListParagraph"/>
        <w:numPr>
          <w:ilvl w:val="0"/>
          <w:numId w:val="2"/>
        </w:numPr>
        <w:spacing w:after="100" w:line="276"/>
      </w:pPr>
      <w:r>
        <w:rPr>
          <w:b/>
          <w:bCs/>
        </w:rPr>
        <w:t xml:space="preserve">R users</w:t>
      </w:r>
      <w:r>
        <w:t xml:space="preserve"> who want practical, well-documented risk analysis workflows</w:t>
      </w:r>
    </w:p>
    <w:p>
      <w:pPr>
        <w:spacing w:after="80"/>
      </w:pPr>
    </w:p>
    <w:p>
      <w:pPr>
        <w:spacing w:after="160" w:line="276"/>
      </w:pPr>
      <w:r>
        <w:rPr>
          <w:b/>
          <w:bCs/>
        </w:rPr>
        <w:t xml:space="preserve">Assumed background:</w:t>
      </w:r>
      <w:r>
        <w:t xml:space="preserve"> basic probability — what a mean is, what a variance is — and some familiarity with R. No prior background in project risk management is required. Mathematical derivations sit in an appendix so the main text stays readable without them.</w:t>
      </w:r>
    </w:p>
    <w:p>
      <w:pPr>
        <w:spacing w:after="160" w:line="276"/>
      </w:pPr>
      <w:r>
        <w:rPr>
          <w:b/>
          <w:bCs/>
        </w:rPr>
        <w:t xml:space="preserve">Course adoption.</w:t>
      </w:r>
      <w:r>
        <w:t xml:space="preserve"> The book is written as a practitioner's guide first, but it is structured for classroom use and would work as a primary text for an upper-level undergraduate or introductory graduate course in project risk management, construction management, engineering project controls, or systems engineering — particularly where the course already uses R.</w:t>
      </w:r>
    </w:p>
    <w:p>
      <w:pPr>
        <w:spacing w:after="160" w:line="276"/>
      </w:pPr>
      <w:r>
        <w:rPr>
          <w:b/>
          <w:bCs/>
        </w:rPr>
        <w:t xml:space="preserve">Disciplines beyond statistics.</w:t>
      </w:r>
      <w:r>
        <w:t xml:space="preserve"> The two strongest secondary markets are civil engineering and construction management (project controls, cost and schedule estimation) and industrial or systems engineering (engineering management, operations research). Business and management — specifically project management and decision analysis — is a credible third.</w:t>
      </w:r>
    </w:p>
    <w:p>
      <w:pPr>
        <w:pStyle w:val="Heading1"/>
        <w:spacing w:after="160" w:before="320"/>
      </w:pPr>
      <w:r>
        <w:t xml:space="preserve">6. What Readers Will Be Able to Do</w:t>
      </w:r>
    </w:p>
    <w:p>
      <w:pPr>
        <w:spacing w:after="160" w:line="276"/>
      </w:pPr>
      <w:r>
        <w:t xml:space="preserve">After working through the book, a reader can:</w:t>
      </w:r>
    </w:p>
    <w:p>
      <w:pPr>
        <w:pStyle w:val="ListParagraph"/>
        <w:numPr>
          <w:ilvl w:val="0"/>
          <w:numId w:val="2"/>
        </w:numPr>
        <w:spacing w:after="100" w:line="276"/>
      </w:pPr>
      <w:r>
        <w:t xml:space="preserve">Build a Monte Carlo model of a project schedule or budget and read percentiles correctly</w:t>
      </w:r>
    </w:p>
    <w:p>
      <w:pPr>
        <w:pStyle w:val="ListParagraph"/>
        <w:numPr>
          <w:ilvl w:val="0"/>
          <w:numId w:val="2"/>
        </w:numPr>
        <w:spacing w:after="100" w:line="276"/>
      </w:pPr>
      <w:r>
        <w:t xml:space="preserve">Size a contingency reserve to a stated confidence level and defend the number</w:t>
      </w:r>
    </w:p>
    <w:p>
      <w:pPr>
        <w:pStyle w:val="ListParagraph"/>
        <w:numPr>
          <w:ilvl w:val="0"/>
          <w:numId w:val="2"/>
        </w:numPr>
        <w:spacing w:after="100" w:line="276"/>
      </w:pPr>
      <w:r>
        <w:t xml:space="preserve">Identify which tasks actually drive total uncertainty, using variance decomposition rather than intuition</w:t>
      </w:r>
    </w:p>
    <w:p>
      <w:pPr>
        <w:pStyle w:val="ListParagraph"/>
        <w:numPr>
          <w:ilvl w:val="0"/>
          <w:numId w:val="2"/>
        </w:numPr>
        <w:spacing w:after="100" w:line="276"/>
      </w:pPr>
      <w:r>
        <w:t xml:space="preserve">Choose between a full simulation and a second-moment approximation, and know why</w:t>
      </w:r>
    </w:p>
    <w:p>
      <w:pPr>
        <w:pStyle w:val="ListParagraph"/>
        <w:numPr>
          <w:ilvl w:val="0"/>
          <w:numId w:val="2"/>
        </w:numPr>
        <w:spacing w:after="100" w:line="276"/>
      </w:pPr>
      <w:r>
        <w:t xml:space="preserve">Track and forecast project performance with earned value metrics</w:t>
      </w:r>
    </w:p>
    <w:p>
      <w:pPr>
        <w:pStyle w:val="ListParagraph"/>
        <w:numPr>
          <w:ilvl w:val="0"/>
          <w:numId w:val="2"/>
        </w:numPr>
        <w:spacing w:after="100" w:line="276"/>
      </w:pPr>
      <w:r>
        <w:t xml:space="preserve">Update a risk assessment formally when new evidence arrives, instead of arguing about it</w:t>
      </w:r>
    </w:p>
    <w:p>
      <w:pPr>
        <w:pStyle w:val="ListParagraph"/>
        <w:numPr>
          <w:ilvl w:val="0"/>
          <w:numId w:val="2"/>
        </w:numPr>
        <w:spacing w:after="100" w:line="276"/>
      </w:pPr>
      <w:r>
        <w:t xml:space="preserve">Forecast completion by fitting a learning curve to early progress data</w:t>
      </w:r>
    </w:p>
    <w:p>
      <w:pPr>
        <w:pStyle w:val="ListParagraph"/>
        <w:numPr>
          <w:ilvl w:val="0"/>
          <w:numId w:val="2"/>
        </w:numPr>
        <w:spacing w:after="100" w:line="276"/>
      </w:pPr>
      <w:r>
        <w:t xml:space="preserve">Model how risks propagate across a portfolio through shared root causes, and distinguish observing a risk from intervening on it</w:t>
      </w:r>
    </w:p>
    <w:p>
      <w:pPr>
        <w:pStyle w:val="ListParagraph"/>
        <w:numPr>
          <w:ilvl w:val="0"/>
          <w:numId w:val="2"/>
        </w:numPr>
        <w:spacing w:after="100" w:line="276"/>
      </w:pPr>
      <w:r>
        <w:t xml:space="preserve">Package the whole analysis as a reproducible report that re-runs cleanly in two years</w:t>
      </w:r>
    </w:p>
    <w:p>
      <w:pPr>
        <w:pStyle w:val="ListParagraph"/>
        <w:numPr>
          <w:ilvl w:val="0"/>
          <w:numId w:val="2"/>
        </w:numPr>
        <w:spacing w:after="100" w:line="276"/>
      </w:pPr>
      <w:r>
        <w:t xml:space="preserve">Expose these methods to an AI agent and supervise its work competently</w:t>
      </w:r>
    </w:p>
    <w:p>
      <w:pPr>
        <w:spacing w:after="80"/>
      </w:pPr>
    </w:p>
    <w:p>
      <w:pPr>
        <w:pStyle w:val="Heading1"/>
        <w:spacing w:after="160" w:before="320"/>
      </w:pPr>
      <w:r>
        <w:t xml:space="preserve">7. Key Features</w:t>
      </w:r>
    </w:p>
    <w:p>
      <w:pPr>
        <w:pStyle w:val="ListParagraph"/>
        <w:numPr>
          <w:ilvl w:val="0"/>
          <w:numId w:val="2"/>
        </w:numPr>
        <w:spacing w:after="100" w:line="276"/>
      </w:pPr>
      <w:r>
        <w:rPr>
          <w:b/>
          <w:bCs/>
        </w:rPr>
        <w:t xml:space="preserve">Every result is computed, not transcribed.</w:t>
      </w:r>
      <w:r>
        <w:t xml:space="preserve"> The book is a Quarto project rendered against the live </w:t>
      </w:r>
      <w:r>
        <w:rPr>
          <w:rFonts w:ascii="Consolas" w:cs="Consolas" w:eastAsia="Consolas" w:hAnsi="Consolas"/>
          <w:sz w:val="20"/>
          <w:szCs w:val="20"/>
        </w:rPr>
        <w:t xml:space="preserve">PRA</w:t>
      </w:r>
      <w:r>
        <w:t xml:space="preserve"> package. If a function's behavior changes, the build breaks loudly rather than going quietly stale.</w:t>
      </w:r>
    </w:p>
    <w:p>
      <w:pPr>
        <w:pStyle w:val="ListParagraph"/>
        <w:numPr>
          <w:ilvl w:val="0"/>
          <w:numId w:val="2"/>
        </w:numPr>
        <w:spacing w:after="100" w:line="276"/>
      </w:pPr>
      <w:r>
        <w:rPr>
          <w:b/>
          <w:bCs/>
        </w:rPr>
        <w:t xml:space="preserve">One method per chapter, uniform structure.</w:t>
      </w:r>
      <w:r>
        <w:t xml:space="preserve"> Each chapter opens with learning objectives, answers "when would I actually use this?", supplies just enough theory, works a complete example, and ends with a summary, key takeaways, and exercises.</w:t>
      </w:r>
    </w:p>
    <w:p>
      <w:pPr>
        <w:pStyle w:val="ListParagraph"/>
        <w:numPr>
          <w:ilvl w:val="0"/>
          <w:numId w:val="2"/>
        </w:numPr>
        <w:spacing w:after="100" w:line="276"/>
      </w:pPr>
      <w:r>
        <w:rPr>
          <w:b/>
          <w:bCs/>
        </w:rPr>
        <w:t xml:space="preserve">Exercises in every method chapter.</w:t>
      </w:r>
      <w:r>
        <w:t xml:space="preserve"> All eleven method chapters carry roughly ten to fifteen questions, ranging from "verify you followed along" to "extend this to a real scenario." Worked solutions for ten of those chapters are already written as an appendix; the Quarto chapter's solutions are outstanding and would be completed before delivery.</w:t>
      </w:r>
    </w:p>
    <w:p>
      <w:pPr>
        <w:pStyle w:val="ListParagraph"/>
        <w:numPr>
          <w:ilvl w:val="0"/>
          <w:numId w:val="2"/>
        </w:numPr>
        <w:spacing w:after="100" w:line="276"/>
      </w:pPr>
      <w:r>
        <w:rPr>
          <w:b/>
          <w:bCs/>
        </w:rPr>
        <w:t xml:space="preserve">One project carried end to end.</w:t>
      </w:r>
      <w:r>
        <w:t xml:space="preserve"> A case study appendix applies all nine methods to a single bridge-replacement project, so the reader sees how the techniques compose rather than meeting them in isolation.</w:t>
      </w:r>
    </w:p>
    <w:p>
      <w:pPr>
        <w:pStyle w:val="ListParagraph"/>
        <w:numPr>
          <w:ilvl w:val="0"/>
          <w:numId w:val="2"/>
        </w:numPr>
        <w:spacing w:after="100" w:line="276"/>
      </w:pPr>
      <w:r>
        <w:rPr>
          <w:b/>
          <w:bCs/>
        </w:rPr>
        <w:t xml:space="preserve">Backed by a real package.</w:t>
      </w:r>
      <w:r>
        <w:t xml:space="preserve"> </w:t>
      </w:r>
      <w:r>
        <w:rPr>
          <w:rFonts w:ascii="Consolas" w:cs="Consolas" w:eastAsia="Consolas" w:hAnsi="Consolas"/>
          <w:sz w:val="20"/>
          <w:szCs w:val="20"/>
        </w:rPr>
        <w:t xml:space="preserve">PRA</w:t>
      </w:r>
      <w:r>
        <w:t xml:space="preserve"> is on CRAN (v0.7.0, DOI 10.32614/CRAN.package.PRA) with a full test suite, continuous integration across three platforms, code coverage reporting, and a documentation site. The code in the book is maintained software, not listings.</w:t>
      </w:r>
    </w:p>
    <w:p>
      <w:pPr>
        <w:pStyle w:val="ListParagraph"/>
        <w:numPr>
          <w:ilvl w:val="0"/>
          <w:numId w:val="2"/>
        </w:numPr>
        <w:spacing w:after="100" w:line="276"/>
      </w:pPr>
      <w:r>
        <w:rPr>
          <w:b/>
          <w:bCs/>
        </w:rPr>
        <w:t xml:space="preserve">Complete supporting apparatus.</w:t>
      </w:r>
      <w:r>
        <w:t xml:space="preserve"> Glossary, mathematical derivations, and a quick-reference card are already written.</w:t>
      </w:r>
    </w:p>
    <w:p>
      <w:pPr>
        <w:spacing w:after="80"/>
      </w:pPr>
    </w:p>
    <w:p>
      <w:pPr>
        <w:spacing w:after="160" w:line="276"/>
      </w:pPr>
      <w:r>
        <w:rPr>
          <w:b/>
          <w:bCs/>
        </w:rPr>
        <w:t xml:space="preserve">Search keywords.</w:t>
      </w:r>
      <w:r>
        <w:t xml:space="preserve"> Schedule uncertainty modeling in R · cost contingency estimation · earned value management R package · Bayesian networks for construction · design structure matrix · second moment method.</w:t>
      </w:r>
    </w:p>
    <w:p>
      <w:pPr>
        <w:pStyle w:val="Heading1"/>
        <w:spacing w:after="160" w:before="320"/>
      </w:pPr>
      <w:r>
        <w:t xml:space="preserve">8. Competing and Related Titles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91"/>
        <w:gridCol w:w="6869"/>
      </w:tblGrid>
      <w:tr>
        <w:trPr>
          <w:tblHeader/>
        </w:trPr>
        <w:tc>
          <w:tcPr>
            <w:tcW w:type="dxa" w:w="2491"/>
            <w:shd w:fill="E8E8E8" w:val="clear"/>
            <w:tcMar>
              <w:top w:type="dxa" w:w="80"/>
              <w:left w:type="dxa" w:w="120"/>
              <w:bottom w:type="dxa" w:w="80"/>
              <w:right w:type="dxa" w:w="120"/>
            </w:tcMar>
          </w:tcPr>
          <w:p>
            <w:pPr>
              <w:spacing w:after="0" w:before="0"/>
            </w:pPr>
            <w:r>
              <w:rPr>
                <w:b/>
                <w:bCs/>
              </w:rPr>
              <w:t xml:space="preserve">Title</w:t>
            </w:r>
          </w:p>
        </w:tc>
        <w:tc>
          <w:tcPr>
            <w:tcW w:type="dxa" w:w="6869"/>
            <w:shd w:fill="E8E8E8" w:val="clear"/>
            <w:tcMar>
              <w:top w:type="dxa" w:w="80"/>
              <w:left w:type="dxa" w:w="120"/>
              <w:bottom w:type="dxa" w:w="80"/>
              <w:right w:type="dxa" w:w="120"/>
            </w:tcMar>
          </w:tcPr>
          <w:p>
            <w:pPr>
              <w:spacing w:after="0" w:before="0"/>
            </w:pPr>
            <w:r>
              <w:rPr>
                <w:b/>
                <w:bCs/>
              </w:rPr>
              <w:t xml:space="preserve">Relationship</w:t>
            </w:r>
          </w:p>
        </w:tc>
      </w:tr>
      <w:tr>
        <w:trPr>
          <w:tblHeader w:val="false"/>
        </w:trPr>
        <w:tc>
          <w:tcPr>
            <w:tcW w:type="dxa" w:w="2491"/>
            <w:tcMar>
              <w:top w:type="dxa" w:w="80"/>
              <w:left w:type="dxa" w:w="120"/>
              <w:bottom w:type="dxa" w:w="80"/>
              <w:right w:type="dxa" w:w="120"/>
            </w:tcMar>
          </w:tcPr>
          <w:p>
            <w:pPr>
              <w:spacing w:after="0" w:before="0"/>
            </w:pPr>
            <w:r>
              <w:t xml:space="preserve">Vose, </w:t>
            </w:r>
            <w:r>
              <w:rPr>
                <w:i/>
                <w:iCs/>
              </w:rPr>
              <w:t xml:space="preserve">Risk Analysis: A Quantitative Guide</w:t>
            </w:r>
            <w:r>
              <w:t xml:space="preserve">, 3rd ed. (Wiley, 2008)</w:t>
            </w:r>
          </w:p>
        </w:tc>
        <w:tc>
          <w:tcPr>
            <w:tcW w:type="dxa" w:w="6869"/>
            <w:tcMar>
              <w:top w:type="dxa" w:w="80"/>
              <w:left w:type="dxa" w:w="120"/>
              <w:bottom w:type="dxa" w:w="80"/>
              <w:right w:type="dxa" w:w="120"/>
            </w:tcMar>
          </w:tcPr>
          <w:p>
            <w:pPr>
              <w:spacing w:after="0" w:before="0"/>
            </w:pPr>
            <w:r>
              <w:t xml:space="preserve">The closest competitor and the standard reference on quantitative risk modelling. Broader and more theoretical, but its worked examples depend on commercial spreadsheet add-ins rather than open-source tooling, it offers no reproducible workflow, and the current edition is now over fifteen years old.</w:t>
            </w:r>
          </w:p>
        </w:tc>
      </w:tr>
      <w:tr>
        <w:trPr>
          <w:tblHeader w:val="false"/>
        </w:trPr>
        <w:tc>
          <w:tcPr>
            <w:tcW w:type="dxa" w:w="2491"/>
            <w:tcMar>
              <w:top w:type="dxa" w:w="80"/>
              <w:left w:type="dxa" w:w="120"/>
              <w:bottom w:type="dxa" w:w="80"/>
              <w:right w:type="dxa" w:w="120"/>
            </w:tcMar>
          </w:tcPr>
          <w:p>
            <w:pPr>
              <w:spacing w:after="0" w:before="0"/>
            </w:pPr>
            <w:r>
              <w:t xml:space="preserve">PMI, </w:t>
            </w:r>
            <w:r>
              <w:rPr>
                <w:i/>
                <w:iCs/>
              </w:rPr>
              <w:t xml:space="preserve">A Guide to the Project Management Body of Knowledge (PMBOK Guide)</w:t>
            </w:r>
            <w:r>
              <w:t xml:space="preserve">, 7th ed. (2021)</w:t>
            </w:r>
          </w:p>
        </w:tc>
        <w:tc>
          <w:tcPr>
            <w:tcW w:type="dxa" w:w="6869"/>
            <w:tcMar>
              <w:top w:type="dxa" w:w="80"/>
              <w:left w:type="dxa" w:w="120"/>
              <w:bottom w:type="dxa" w:w="80"/>
              <w:right w:type="dxa" w:w="120"/>
            </w:tcMar>
          </w:tcPr>
          <w:p>
            <w:pPr>
              <w:spacing w:after="0" w:before="0"/>
            </w:pPr>
            <w:r>
              <w:t xml:space="preserve">The authoritative standards document, but deliberately descriptive: it establishes what a risk process should include without showing how to compute anything. Complementary rather than competing — this book supplies the implementation PMBOK leaves to the reader.</w:t>
            </w:r>
          </w:p>
        </w:tc>
      </w:tr>
      <w:tr>
        <w:trPr>
          <w:tblHeader w:val="false"/>
        </w:trPr>
        <w:tc>
          <w:tcPr>
            <w:tcW w:type="dxa" w:w="2491"/>
            <w:tcMar>
              <w:top w:type="dxa" w:w="80"/>
              <w:left w:type="dxa" w:w="120"/>
              <w:bottom w:type="dxa" w:w="80"/>
              <w:right w:type="dxa" w:w="120"/>
            </w:tcMar>
          </w:tcPr>
          <w:p>
            <w:pPr>
              <w:spacing w:after="0" w:before="0"/>
            </w:pPr>
            <w:r>
              <w:t xml:space="preserve">Fleming &amp; Koppelman, </w:t>
            </w:r>
            <w:r>
              <w:rPr>
                <w:i/>
                <w:iCs/>
              </w:rPr>
              <w:t xml:space="preserve">Earned Value Project Management</w:t>
            </w:r>
            <w:r>
              <w:t xml:space="preserve">, 4th ed. (PMI, 2010)</w:t>
            </w:r>
          </w:p>
        </w:tc>
        <w:tc>
          <w:tcPr>
            <w:tcW w:type="dxa" w:w="6869"/>
            <w:tcMar>
              <w:top w:type="dxa" w:w="80"/>
              <w:left w:type="dxa" w:w="120"/>
              <w:bottom w:type="dxa" w:w="80"/>
              <w:right w:type="dxa" w:w="120"/>
            </w:tcMar>
          </w:tcPr>
          <w:p>
            <w:pPr>
              <w:spacing w:after="0" w:before="0"/>
            </w:pPr>
            <w:r>
              <w:t xml:space="preserve">The definitive treatment of earned value, which is one chapter of twelve here. Does not address simulation, Bayesian methods, or structural analysis.</w:t>
            </w:r>
          </w:p>
        </w:tc>
      </w:tr>
      <w:tr>
        <w:trPr>
          <w:tblHeader w:val="false"/>
        </w:trPr>
        <w:tc>
          <w:tcPr>
            <w:tcW w:type="dxa" w:w="2491"/>
            <w:tcMar>
              <w:top w:type="dxa" w:w="80"/>
              <w:left w:type="dxa" w:w="120"/>
              <w:bottom w:type="dxa" w:w="80"/>
              <w:right w:type="dxa" w:w="120"/>
            </w:tcMar>
          </w:tcPr>
          <w:p>
            <w:pPr>
              <w:spacing w:after="0" w:before="0"/>
            </w:pPr>
            <w:r>
              <w:t xml:space="preserve">Benjamin &amp; Cornell, </w:t>
            </w:r>
            <w:r>
              <w:rPr>
                <w:i/>
                <w:iCs/>
              </w:rPr>
              <w:t xml:space="preserve">Probability, Statistics, and Decision for Civil Engineers</w:t>
            </w:r>
            <w:r>
              <w:t xml:space="preserve"> (Dover)</w:t>
            </w:r>
          </w:p>
        </w:tc>
        <w:tc>
          <w:tcPr>
            <w:tcW w:type="dxa" w:w="6869"/>
            <w:tcMar>
              <w:top w:type="dxa" w:w="80"/>
              <w:left w:type="dxa" w:w="120"/>
              <w:bottom w:type="dxa" w:w="80"/>
              <w:right w:type="dxa" w:w="120"/>
            </w:tcMar>
          </w:tcPr>
          <w:p>
            <w:pPr>
              <w:spacing w:after="0" w:before="0"/>
            </w:pPr>
            <w:r>
              <w:t xml:space="preserve">Still excellent on the underlying theory, but a general engineering-statistics text rather than a project-specific one, and predates any modern software workflow.</w:t>
            </w:r>
          </w:p>
        </w:tc>
      </w:tr>
    </w:tbl>
    <w:p>
      <w:pPr>
        <w:spacing w:after="160"/>
      </w:pPr>
    </w:p>
    <w:p>
      <w:pPr>
        <w:spacing w:after="160" w:line="276"/>
      </w:pPr>
      <w:r>
        <w:t xml:space="preserve">Adjacent but non-competing: Hubbard's </w:t>
      </w:r>
      <w:r>
        <w:rPr>
          <w:i/>
          <w:iCs/>
        </w:rPr>
        <w:t xml:space="preserve">How to Measure Anything</w:t>
      </w:r>
      <w:r>
        <w:t xml:space="preserve"> and Savage's </w:t>
      </w:r>
      <w:r>
        <w:rPr>
          <w:i/>
          <w:iCs/>
        </w:rPr>
        <w:t xml:space="preserve">The Flaw of Averages</w:t>
      </w:r>
      <w:r>
        <w:t xml:space="preserve"> make the case for quantifying uncertainty but stop short of supplying a working toolkit. This book is the practical follow-on for readers those titles have already persuaded.</w:t>
      </w:r>
    </w:p>
    <w:p>
      <w:pPr>
        <w:spacing w:after="160" w:line="276"/>
      </w:pPr>
      <w:r>
        <w:rPr>
          <w:b/>
          <w:bCs/>
        </w:rPr>
        <w:t xml:space="preserve">The gap:</w:t>
      </w:r>
      <w:r>
        <w:t xml:space="preserve"> no current title pairs broad method coverage with fully reproducible R code backed by a maintained package, and none addresses reproducible reporting via Quarto or agent-driven analysis via MCP.</w:t>
      </w:r>
    </w:p>
    <w:p>
      <w:pPr>
        <w:pStyle w:val="Heading1"/>
        <w:spacing w:after="160" w:before="320"/>
      </w:pPr>
      <w:r>
        <w:t xml:space="preserve">9. Author Background and Platform</w:t>
      </w:r>
    </w:p>
    <w:p>
      <w:pPr>
        <w:spacing w:after="160" w:line="276"/>
      </w:pPr>
      <w:r>
        <w:t xml:space="preserve">Paul Govan is a Senior Engineer at GE Aerospace. He holds a PhD from The University of Texas at Austin (2014), where his dissertation developed a resource-based view of project risk management. His peer-reviewed work on the subject includes:</w:t>
      </w:r>
    </w:p>
    <w:p>
      <w:pPr>
        <w:pStyle w:val="ListParagraph"/>
        <w:numPr>
          <w:ilvl w:val="0"/>
          <w:numId w:val="2"/>
        </w:numPr>
        <w:spacing w:after="100" w:line="276"/>
      </w:pPr>
      <w:r>
        <w:t xml:space="preserve">Govan &amp; Damnjanovic (2016), "The Resource-Based View on Project Risk Management," </w:t>
      </w:r>
      <w:r>
        <w:rPr>
          <w:i/>
          <w:iCs/>
        </w:rPr>
        <w:t xml:space="preserve">Journal of Construction Engineering and Management</w:t>
      </w:r>
      <w:r>
        <w:t xml:space="preserve"> 142(9)</w:t>
      </w:r>
    </w:p>
    <w:p>
      <w:pPr>
        <w:pStyle w:val="ListParagraph"/>
        <w:numPr>
          <w:ilvl w:val="0"/>
          <w:numId w:val="2"/>
        </w:numPr>
        <w:spacing w:after="100" w:line="276"/>
      </w:pPr>
      <w:r>
        <w:t xml:space="preserve">Govan &amp; Damnjanovic (2020), "Structural Network Measures for Risk Assessment of Construction Projects," </w:t>
      </w:r>
      <w:r>
        <w:rPr>
          <w:i/>
          <w:iCs/>
        </w:rPr>
        <w:t xml:space="preserve">ASCE-ASME Journal of Risk and Uncertainty in Engineering Systems, Part A: Civil Engineering</w:t>
      </w:r>
    </w:p>
    <w:p>
      <w:pPr>
        <w:spacing w:after="80"/>
      </w:pPr>
    </w:p>
    <w:p>
      <w:pPr>
        <w:spacing w:after="160" w:line="276"/>
      </w:pPr>
      <w:r>
        <w:t xml:space="preserve">He is the author and maintainer of </w:t>
      </w:r>
      <w:r>
        <w:rPr>
          <w:rFonts w:ascii="Consolas" w:cs="Consolas" w:eastAsia="Consolas" w:hAnsi="Consolas"/>
          <w:sz w:val="20"/>
          <w:szCs w:val="20"/>
        </w:rPr>
        <w:t xml:space="preserve">PRA</w:t>
      </w:r>
      <w:r>
        <w:t xml:space="preserve"> on CRAN, which gives the book a built-in distribution channel: readers arrive at the package through CRAN and the R ecosystem, and the book is the package's documentation in long form. The draft is already public as a Quarto site at https://paulgovan.github.io/PRA/book/.</w:t>
      </w:r>
    </w:p>
    <w:p>
      <w:pPr>
        <w:pBdr>
          <w:left w:val="single" w:color="BBBBBB" w:sz="12" w:space="10"/>
        </w:pBdr>
        <w:spacing w:after="200" w:before="120"/>
        <w:ind w:left="504"/>
      </w:pPr>
      <w:r>
        <w:rPr>
          <w:i/>
          <w:iCs/>
          <w:color w:val="444444"/>
        </w:rPr>
        <w:t xml:space="preserve">To be completed by the author: speaking, teaching, or conference activity; social and newsletter following; and any other channels available for promotion.</w:t>
      </w:r>
    </w:p>
    <w:p>
      <w:pPr>
        <w:pStyle w:val="Heading1"/>
        <w:spacing w:after="160" w:before="320"/>
      </w:pPr>
      <w:r>
        <w:t xml:space="preserve">10. Annotated Table of Contents</w:t>
      </w:r>
    </w:p>
    <w:p>
      <w:pPr>
        <w:spacing w:after="160" w:line="276"/>
      </w:pPr>
      <w:r>
        <w:t xml:space="preserve">Twelve chapters and five appendices. Each chapter follows the same structure and ends with exercises.</w:t>
      </w:r>
    </w:p>
    <w:p>
      <w:pPr>
        <w:spacing w:after="160" w:line="276"/>
      </w:pPr>
      <w:r>
        <w:rPr>
          <w:b/>
          <w:bCs/>
        </w:rPr>
        <w:t xml:space="preserve">Preface</w:t>
      </w:r>
      <w:r>
        <w:t xml:space="preserve"> — What the book covers, who it is for, how to read it, and why the analysis is done in code rather than a spreadsheet. </w:t>
      </w:r>
      <w:r>
        <w:rPr>
          <w:i/>
          <w:iCs/>
        </w:rPr>
        <w:t xml:space="preserve">What This Book Is About · Who This Book Is For · How to Use This Book · Getting Started · A Note on Tone · Why the PRA Package? · A Reproducible Book · How to Cite · License · Acknowledgements</w:t>
      </w:r>
    </w:p>
    <w:p>
      <w:pPr>
        <w:spacing w:after="160" w:line="276"/>
      </w:pPr>
      <w:r>
        <w:rPr>
          <w:b/>
          <w:bCs/>
        </w:rPr>
        <w:t xml:space="preserve">1. Into the Unknown: An Introduction to Project Risk Analysis</w:t>
      </w:r>
      <w:r>
        <w:t xml:space="preserve"> — Defines risk as uncertainty that matters, separates probability from impact, maps the methods covered, and addresses the garbage-in-garbage-out objection head on. </w:t>
      </w:r>
      <w:r>
        <w:rPr>
          <w:i/>
          <w:iCs/>
        </w:rPr>
        <w:t xml:space="preserve">What Is Project Risk? · The Quantitative Toolkit · How to Navigate This Book · A Map of the Methods · Installing the Package · A Note on Uncertainty About Uncertainty · Garbage In, Garbage Out</w:t>
      </w:r>
    </w:p>
    <w:p>
      <w:pPr>
        <w:spacing w:after="160" w:line="276"/>
      </w:pPr>
      <w:r>
        <w:rPr>
          <w:b/>
          <w:bCs/>
        </w:rPr>
        <w:t xml:space="preserve">2. Roll the Dice: Monte Carlo Simulation</w:t>
      </w:r>
      <w:r>
        <w:t xml:space="preserve"> — The five steps of a simulation, how to read percentiles correctly, and how to convert a distribution into a contingency reserve. </w:t>
      </w:r>
      <w:r>
        <w:rPr>
          <w:i/>
          <w:iCs/>
        </w:rPr>
        <w:t xml:space="preserve">Learning Objectives · How Monte Carlo Simulation Works · The Five Steps · Example · Interpreting Percentiles · Contingency Analysis · Sensitivity Analysis · Summary · Key Takeaways · Exercises</w:t>
      </w:r>
    </w:p>
    <w:p>
      <w:pPr>
        <w:spacing w:after="160" w:line="276"/>
      </w:pPr>
      <w:r>
        <w:rPr>
          <w:b/>
          <w:bCs/>
        </w:rPr>
        <w:t xml:space="preserve">3. May I Have a (Second) Moment? The Second Moment Method</w:t>
      </w:r>
      <w:r>
        <w:t xml:space="preserve"> — A defensible thirty-second estimate from means, variances, and a correlation matrix, with an explicit decision rule for when it is adequate, validated against Monte Carlo. </w:t>
      </w:r>
      <w:r>
        <w:rPr>
          <w:i/>
          <w:iCs/>
        </w:rPr>
        <w:t xml:space="preserve">Learning Objectives · When to Use SMM · SMM vs. Monte Carlo: The Decision Rule · How It Works · Example · Implied Distribution and Confidence Interval · Comparison with Monte Carlo Simulation · What This Comparison Is Testing · Benefits and Limitations · Summary · Key Takeaways · Exercises</w:t>
      </w:r>
    </w:p>
    <w:p>
      <w:pPr>
        <w:spacing w:after="160" w:line="276"/>
      </w:pPr>
      <w:r>
        <w:rPr>
          <w:b/>
          <w:bCs/>
        </w:rPr>
        <w:t xml:space="preserve">4. Who's Driving? Sensitivity Analysis</w:t>
      </w:r>
      <w:r>
        <w:t xml:space="preserve"> — Variance decomposition to find the tasks that actually drive total uncertainty, tornado charts, and what changes when tasks are correlated. </w:t>
      </w:r>
      <w:r>
        <w:rPr>
          <w:i/>
          <w:iCs/>
        </w:rPr>
        <w:t xml:space="preserve">Learning Objectives · What Is Sensitivity Analysis? · Sensitivity vs. Percentiles · Setup · Computing Sensitivity · Tornado Chart · With Correlated Tasks · Summary · Key Takeaways · Exercises</w:t>
      </w:r>
    </w:p>
    <w:p>
      <w:pPr>
        <w:spacing w:after="160" w:line="276"/>
      </w:pPr>
      <w:r>
        <w:rPr>
          <w:b/>
          <w:bCs/>
        </w:rPr>
        <w:t xml:space="preserve">5. Keeping Score: Earned Value Management</w:t>
      </w:r>
      <w:r>
        <w:t xml:space="preserve"> — Planned value, earned value, and actual cost; schedule and cost variances and indices; forecasting estimate at completion; performance trend charts. </w:t>
      </w:r>
      <w:r>
        <w:rPr>
          <w:i/>
          <w:iCs/>
        </w:rPr>
        <w:t xml:space="preserve">Learning Objectives · The Three Core Numbers · PV, EV, AC: The Foundation of Everything · Key Metrics · Example Setup · Forecasting: Estimate at Completion · Additional Metrics · Performance Trend Chart · Summary · Key Takeaways · Exercises</w:t>
      </w:r>
    </w:p>
    <w:p>
      <w:pPr>
        <w:spacing w:after="160" w:line="276"/>
      </w:pPr>
      <w:r>
        <w:rPr>
          <w:b/>
          <w:bCs/>
        </w:rPr>
        <w:t xml:space="preserve">6. I Had a Feeling: Bayesian Risk Inference</w:t>
      </w:r>
      <w:r>
        <w:t xml:space="preserve"> — Bayes' theorem in plain language, then a full prior-to-posterior workflow updating both a risk probability and its cost distribution when evidence arrives. </w:t>
      </w:r>
      <w:r>
        <w:rPr>
          <w:i/>
          <w:iCs/>
        </w:rPr>
        <w:t xml:space="preserve">Learning Objectives · The Core Idea · Bayes' Theorem in Plain English · Causal Structure · Prior Risk Probability · Prior Cost Distribution · Posterior Risk Probability · Posterior Cost Distribution · The Workflow · Summary · Key Takeaways · Exercises</w:t>
      </w:r>
    </w:p>
    <w:p>
      <w:pPr>
        <w:spacing w:after="160" w:line="276"/>
      </w:pPr>
      <w:r>
        <w:rPr>
          <w:b/>
          <w:bCs/>
        </w:rPr>
        <w:t xml:space="preserve">7. S Is for Success: Sigmoidal Learning Curves</w:t>
      </w:r>
      <w:r>
        <w:t xml:space="preserve"> — Fitting logistic, Pearl, and Gompertz models to early progress data to forecast completion, including why two of the three are the same model in disguise. </w:t>
      </w:r>
      <w:r>
        <w:rPr>
          <w:i/>
          <w:iCs/>
        </w:rPr>
        <w:t xml:space="preserve">Learning Objectives · Why Sigmoidal? · The Three Models · Example: Fitting a Logistic Model · Comparing All Three Model Types · Logistic and Pearl Are the Same Model · The Workflow · Summary · Key Takeaways · Exercises</w:t>
      </w:r>
    </w:p>
    <w:p>
      <w:pPr>
        <w:spacing w:after="160" w:line="276"/>
      </w:pPr>
      <w:r>
        <w:rPr>
          <w:b/>
          <w:bCs/>
        </w:rPr>
        <w:t xml:space="preserve">8. It's a Small World After All: Probabilistic Networks</w:t>
      </w:r>
      <w:r>
        <w:t xml:space="preserve"> — Bayesian networks as a model of how risks flow through resources into task costs; forward simulation, incorporating evidence, and modifying network structure. </w:t>
      </w:r>
      <w:r>
        <w:rPr>
          <w:i/>
          <w:iCs/>
        </w:rPr>
        <w:t xml:space="preserve">Learning Objectives · What Is a Bayesian Network? · Bayesian Network vs. DSM · Project Setup · Building the Bayesian Network · Inference: Forward Simulation · Learning: Incorporating New Evidence · Updating: Modifying the Network · The Four Core Functions · Summary · Key Takeaways · Exercises</w:t>
      </w:r>
    </w:p>
    <w:p>
      <w:pPr>
        <w:spacing w:after="160" w:line="276"/>
      </w:pPr>
      <w:r>
        <w:rPr>
          <w:b/>
          <w:bCs/>
        </w:rPr>
        <w:t xml:space="preserve">9. Everything Is Connected: Design Structure Matrices</w:t>
      </w:r>
      <w:r>
        <w:t xml:space="preserve"> — A simpler structural question, which tasks are coupled because they share crews, equipment, or materials, answered by deriving parent and grandparent DSMs from the network built in Chapter 8, and used to prioritize mitigation. </w:t>
      </w:r>
      <w:r>
        <w:rPr>
          <w:i/>
          <w:iCs/>
        </w:rPr>
        <w:t xml:space="preserve">Learning Objectives · What Is a DSM? · Rebuilding the Project Network · The Adjacency Matrix · The Resource-Task Matrix · Parent DSM · The Risk-Resource Matrix · Grandparent DSM · Interpreting the DSM · From DSM to Decision · Using the DSM to Prioritize Mitigation · Summary · Key Takeaways · DSM vs. Bayesian Network: When to Use Each · Exercises</w:t>
      </w:r>
    </w:p>
    <w:p>
      <w:pPr>
        <w:spacing w:after="160" w:line="276"/>
      </w:pPr>
      <w:r>
        <w:rPr>
          <w:b/>
          <w:bCs/>
        </w:rPr>
        <w:t xml:space="preserve">10. The Portfolio Problem: When Risks Are Shared</w:t>
      </w:r>
      <w:r>
        <w:t xml:space="preserve"> — Scaling to three projects with a common upstream root cause, and the distinction that matters most for enterprise risk: seeing a risk occur versus intervening to prevent it. </w:t>
      </w:r>
      <w:r>
        <w:rPr>
          <w:i/>
          <w:iCs/>
        </w:rPr>
        <w:t xml:space="preserve">Learning Objectives · The Portfolio Case Study · Seeing Is Not the Same as Doing · Setup · Building the Portfolio Network · Observational Distribution · Seeing vs. Doing at the Risk Level · Enterprise vs. Project-Scoped Intervention · Risk Importance Ranking · Summary Table · Summary · Key Takeaways · Exercises</w:t>
      </w:r>
    </w:p>
    <w:p>
      <w:pPr>
        <w:spacing w:after="160" w:line="276"/>
      </w:pPr>
      <w:r>
        <w:rPr>
          <w:b/>
          <w:bCs/>
        </w:rPr>
        <w:t xml:space="preserve">11. Write Once, Trust Always: Reproducible Risk Analysis with Quarto</w:t>
      </w:r>
      <w:r>
        <w:t xml:space="preserve"> — The reproducibility gap in project controls and how to close it: literate risk reports, reproducible versus merely repeatable analysis, and parameterized reports that re-run across projects and scenarios. </w:t>
      </w:r>
      <w:r>
        <w:rPr>
          <w:i/>
          <w:iCs/>
        </w:rPr>
        <w:t xml:space="preserve">Learning Objectives · The Spreadsheet Problem · Reproducible vs. Repeatable · What is Quarto? · Quarto vs. R Markdown · Your First Risk Report · Parameterized Reports · Parametric Reporting in Practice · Version Control with Git · Package Environments with renv · This Book as a Living Example · What "Live Book" Means for You · Exercises</w:t>
      </w:r>
    </w:p>
    <w:p>
      <w:pPr>
        <w:spacing w:after="160" w:line="276"/>
      </w:pPr>
      <w:r>
        <w:rPr>
          <w:b/>
          <w:bCs/>
        </w:rPr>
        <w:t xml:space="preserve">12. Your AI Co-Pilot: Agentic Risk Analysis</w:t>
      </w:r>
      <w:r>
        <w:t xml:space="preserve"> — Exposing the analytical functions as tools over the Model Context Protocol; the Agent Skills that tell an agent when and how to call each one; how a plain-language request becomes a tool call; and how to supervise the result. </w:t>
      </w:r>
      <w:r>
        <w:rPr>
          <w:i/>
          <w:iCs/>
        </w:rPr>
        <w:t xml:space="preserve">Learning Objectives · How PRA Talks to AI Agents · Prerequisites · The MCP Server · Agent Skills · From Request to Tool Call · Tool Reference · Summary · Key Takeaways · Exercises</w:t>
      </w:r>
    </w:p>
    <w:p>
      <w:pPr>
        <w:spacing w:after="160" w:line="276"/>
      </w:pPr>
      <w:r>
        <w:rPr>
          <w:b/>
          <w:bCs/>
        </w:rPr>
        <w:t xml:space="preserve">Appendix A: Glossary</w:t>
      </w:r>
      <w:r>
        <w:t xml:space="preserve"> — Terms grouped by method: probability and distributions, Monte Carlo and sensitivity, the second moment method, earned value, Bayesian inference, learning curves, structural methods, and the agentic framework.</w:t>
      </w:r>
    </w:p>
    <w:p>
      <w:pPr>
        <w:spacing w:after="160" w:line="276"/>
      </w:pPr>
      <w:r>
        <w:rPr>
          <w:b/>
          <w:bCs/>
        </w:rPr>
        <w:t xml:space="preserve">Appendix B: Mathematical Derivations</w:t>
      </w:r>
      <w:r>
        <w:t xml:space="preserve"> — Why total variance is a sum; variance formulas for standard distributions; the sensitivity index; Bayesian updating for project risk.</w:t>
      </w:r>
    </w:p>
    <w:p>
      <w:pPr>
        <w:spacing w:after="160" w:line="276"/>
      </w:pPr>
      <w:r>
        <w:rPr>
          <w:b/>
          <w:bCs/>
        </w:rPr>
        <w:t xml:space="preserve">Appendix C: Quick Reference</w:t>
      </w:r>
      <w:r>
        <w:t xml:space="preserve"> — Every function, grouped by method.</w:t>
      </w:r>
    </w:p>
    <w:p>
      <w:pPr>
        <w:spacing w:after="160" w:line="276"/>
      </w:pPr>
      <w:r>
        <w:rPr>
          <w:b/>
          <w:bCs/>
        </w:rPr>
        <w:t xml:space="preserve">Appendix D: Case Study — Riverside Bridge Replacement</w:t>
      </w:r>
      <w:r>
        <w:t xml:space="preserve"> — All nine methods applied to a single project in sequence, ending with driving the tools from natural language and a review of what each method contributed.</w:t>
      </w:r>
    </w:p>
    <w:p>
      <w:pPr>
        <w:spacing w:after="160" w:line="276"/>
      </w:pPr>
      <w:r>
        <w:rPr>
          <w:b/>
          <w:bCs/>
        </w:rPr>
        <w:t xml:space="preserve">Appendix E: Exercise Solutions</w:t>
      </w:r>
      <w:r>
        <w:t xml:space="preserve"> — Worked solutions, by chapter.</w:t>
      </w:r>
    </w:p>
    <w:p>
      <w:pPr>
        <w:spacing w:after="160" w:line="276"/>
      </w:pPr>
      <w:r>
        <w:rPr>
          <w:b/>
          <w:bCs/>
        </w:rPr>
        <w:t xml:space="preserve">References</w:t>
      </w:r>
    </w:p>
    <w:p>
      <w:pPr>
        <w:pStyle w:val="Heading1"/>
        <w:spacing w:after="160" w:before="320"/>
      </w:pPr>
      <w:r>
        <w:t xml:space="preserve">11. Length and Schedule</w:t>
      </w:r>
    </w:p>
    <w:p>
      <w:pPr>
        <w:spacing w:after="160" w:line="276"/>
      </w:pPr>
      <w:r>
        <w:rPr>
          <w:b/>
          <w:bCs/>
        </w:rPr>
        <w:t xml:space="preserve">Current length.</w:t>
      </w:r>
      <w:r>
        <w:t xml:space="preserve"> Approximately 31,000 words of source across twelve chapters and five appendices, plus executable code and 33 captioned figures. Estimated at </w:t>
      </w:r>
      <w:r>
        <w:rPr>
          <w:b/>
          <w:bCs/>
        </w:rPr>
        <w:t xml:space="preserve">180–200 printed pages</w:t>
      </w:r>
      <w:r>
        <w:t xml:space="preserve"> once code output, figures, and front and back matter are typeset — code listings set less densely than prose.</w:t>
      </w:r>
    </w:p>
    <w:p>
      <w:pPr>
        <w:spacing w:after="160" w:line="276"/>
      </w:pPr>
      <w:r>
        <w:rPr>
          <w:b/>
          <w:bCs/>
        </w:rPr>
        <w:t xml:space="preserve">Figures.</w:t>
      </w:r>
      <w:r>
        <w:t xml:space="preserve"> Of the 33 figures, most read correctly in black and white: histograms, tornado charts, cumulative distribution plots, and performance trend charts. Roughly fifteen currently carry information in color — the multi-curve learning curve comparisons, the network and portfolio diagrams where node color distinguishes risks from resources and tasks, and the design structure matrix heat maps. The line plots could be redrawn with distinct line types and the heat maps with a grayscale ramp; only the network diagrams genuinely benefit from color.</w:t>
      </w:r>
    </w:p>
    <w:p>
      <w:pPr>
        <w:spacing w:after="160" w:line="276"/>
      </w:pPr>
      <w:r>
        <w:rPr>
          <w:b/>
          <w:bCs/>
        </w:rPr>
        <w:t xml:space="preserve">Toolchain.</w:t>
      </w:r>
      <w:r>
        <w:t xml:space="preserve"> The book is a Quarto project and renders to HTML, PDF, and EPUB from the same source.</w:t>
      </w:r>
    </w:p>
    <w:p>
      <w:pPr>
        <w:spacing w:after="160" w:line="276"/>
      </w:pPr>
      <w:r>
        <w:rPr>
          <w:b/>
          <w:bCs/>
        </w:rPr>
        <w:t xml:space="preserve">Status and schedule.</w:t>
      </w:r>
      <w:r>
        <w:t xml:space="preserve"> A complete draft exists and is public. Because the manuscript is written rather than proposed, the remaining work is editorial rather than generative: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79"/>
        <w:gridCol w:w="1881"/>
      </w:tblGrid>
      <w:tr>
        <w:trPr>
          <w:tblHeader/>
        </w:trPr>
        <w:tc>
          <w:tcPr>
            <w:tcW w:type="dxa" w:w="7479"/>
            <w:shd w:fill="E8E8E8" w:val="clear"/>
            <w:tcMar>
              <w:top w:type="dxa" w:w="80"/>
              <w:left w:type="dxa" w:w="120"/>
              <w:bottom w:type="dxa" w:w="80"/>
              <w:right w:type="dxa" w:w="120"/>
            </w:tcMar>
          </w:tcPr>
          <w:p>
            <w:pPr>
              <w:spacing w:after="0" w:before="0"/>
            </w:pPr>
            <w:r>
              <w:rPr>
                <w:b/>
                <w:bCs/>
              </w:rPr>
              <w:t xml:space="preserve">Milestone</w:t>
            </w:r>
          </w:p>
        </w:tc>
        <w:tc>
          <w:tcPr>
            <w:tcW w:type="dxa" w:w="1881"/>
            <w:shd w:fill="E8E8E8" w:val="clear"/>
            <w:tcMar>
              <w:top w:type="dxa" w:w="80"/>
              <w:left w:type="dxa" w:w="120"/>
              <w:bottom w:type="dxa" w:w="80"/>
              <w:right w:type="dxa" w:w="120"/>
            </w:tcMar>
          </w:tcPr>
          <w:p>
            <w:pPr>
              <w:spacing w:after="0" w:before="0"/>
            </w:pPr>
            <w:r>
              <w:rPr>
                <w:b/>
                <w:bCs/>
              </w:rPr>
              <w:t xml:space="preserve">Timing</w:t>
            </w:r>
          </w:p>
        </w:tc>
      </w:tr>
      <w:tr>
        <w:trPr>
          <w:tblHeader w:val="false"/>
        </w:trPr>
        <w:tc>
          <w:tcPr>
            <w:tcW w:type="dxa" w:w="7479"/>
            <w:tcMar>
              <w:top w:type="dxa" w:w="80"/>
              <w:left w:type="dxa" w:w="120"/>
              <w:bottom w:type="dxa" w:w="80"/>
              <w:right w:type="dxa" w:w="120"/>
            </w:tcMar>
          </w:tcPr>
          <w:p>
            <w:pPr>
              <w:spacing w:after="0" w:before="0"/>
            </w:pPr>
            <w:r>
              <w:t xml:space="preserve">Full draft delivered for technical review</w:t>
            </w:r>
          </w:p>
        </w:tc>
        <w:tc>
          <w:tcPr>
            <w:tcW w:type="dxa" w:w="1881"/>
            <w:tcMar>
              <w:top w:type="dxa" w:w="80"/>
              <w:left w:type="dxa" w:w="120"/>
              <w:bottom w:type="dxa" w:w="80"/>
              <w:right w:type="dxa" w:w="120"/>
            </w:tcMar>
          </w:tcPr>
          <w:p>
            <w:pPr>
              <w:spacing w:after="0" w:before="0"/>
            </w:pPr>
            <w:r>
              <w:t xml:space="preserve">On signature</w:t>
            </w:r>
          </w:p>
        </w:tc>
      </w:tr>
      <w:tr>
        <w:trPr>
          <w:tblHeader w:val="false"/>
        </w:trPr>
        <w:tc>
          <w:tcPr>
            <w:tcW w:type="dxa" w:w="7479"/>
            <w:tcMar>
              <w:top w:type="dxa" w:w="80"/>
              <w:left w:type="dxa" w:w="120"/>
              <w:bottom w:type="dxa" w:w="80"/>
              <w:right w:type="dxa" w:w="120"/>
            </w:tcMar>
          </w:tcPr>
          <w:p>
            <w:pPr>
              <w:spacing w:after="0" w:before="0"/>
            </w:pPr>
            <w:r>
              <w:t xml:space="preserve">Revisions from technical review, plus outstanding Quarto exercise solutions</w:t>
            </w:r>
          </w:p>
        </w:tc>
        <w:tc>
          <w:tcPr>
            <w:tcW w:type="dxa" w:w="1881"/>
            <w:tcMar>
              <w:top w:type="dxa" w:w="80"/>
              <w:left w:type="dxa" w:w="120"/>
              <w:bottom w:type="dxa" w:w="80"/>
              <w:right w:type="dxa" w:w="120"/>
            </w:tcMar>
          </w:tcPr>
          <w:p>
            <w:pPr>
              <w:spacing w:after="0" w:before="0"/>
            </w:pPr>
            <w:r>
              <w:t xml:space="preserve">+8 weeks</w:t>
            </w:r>
          </w:p>
        </w:tc>
      </w:tr>
      <w:tr>
        <w:trPr>
          <w:tblHeader w:val="false"/>
        </w:trPr>
        <w:tc>
          <w:tcPr>
            <w:tcW w:type="dxa" w:w="7479"/>
            <w:tcMar>
              <w:top w:type="dxa" w:w="80"/>
              <w:left w:type="dxa" w:w="120"/>
              <w:bottom w:type="dxa" w:w="80"/>
              <w:right w:type="dxa" w:w="120"/>
            </w:tcMar>
          </w:tcPr>
          <w:p>
            <w:pPr>
              <w:spacing w:after="0" w:before="0"/>
            </w:pPr>
            <w:r>
              <w:t xml:space="preserve">Copyedit and author review</w:t>
            </w:r>
          </w:p>
        </w:tc>
        <w:tc>
          <w:tcPr>
            <w:tcW w:type="dxa" w:w="1881"/>
            <w:tcMar>
              <w:top w:type="dxa" w:w="80"/>
              <w:left w:type="dxa" w:w="120"/>
              <w:bottom w:type="dxa" w:w="80"/>
              <w:right w:type="dxa" w:w="120"/>
            </w:tcMar>
          </w:tcPr>
          <w:p>
            <w:pPr>
              <w:spacing w:after="0" w:before="0"/>
            </w:pPr>
            <w:r>
              <w:t xml:space="preserve">+6 weeks</w:t>
            </w:r>
          </w:p>
        </w:tc>
      </w:tr>
      <w:tr>
        <w:trPr>
          <w:tblHeader w:val="false"/>
        </w:trPr>
        <w:tc>
          <w:tcPr>
            <w:tcW w:type="dxa" w:w="7479"/>
            <w:tcMar>
              <w:top w:type="dxa" w:w="80"/>
              <w:left w:type="dxa" w:w="120"/>
              <w:bottom w:type="dxa" w:w="80"/>
              <w:right w:type="dxa" w:w="120"/>
            </w:tcMar>
          </w:tcPr>
          <w:p>
            <w:pPr>
              <w:spacing w:after="0" w:before="0"/>
            </w:pPr>
            <w:r>
              <w:t xml:space="preserve">Final manuscript</w:t>
            </w:r>
          </w:p>
        </w:tc>
        <w:tc>
          <w:tcPr>
            <w:tcW w:type="dxa" w:w="1881"/>
            <w:tcMar>
              <w:top w:type="dxa" w:w="80"/>
              <w:left w:type="dxa" w:w="120"/>
              <w:bottom w:type="dxa" w:w="80"/>
              <w:right w:type="dxa" w:w="120"/>
            </w:tcMar>
          </w:tcPr>
          <w:p>
            <w:pPr>
              <w:spacing w:after="0" w:before="0"/>
            </w:pPr>
            <w:r>
              <w:t xml:space="preserve">+4 weeks</w:t>
            </w:r>
          </w:p>
        </w:tc>
      </w:tr>
    </w:tbl>
    <w:p>
      <w:pPr>
        <w:spacing w:after="160"/>
      </w:pPr>
    </w:p>
    <w:p>
      <w:pPr>
        <w:spacing w:after="160" w:line="276"/>
      </w:pPr>
      <w:r>
        <w:t xml:space="preserve">Roughly four to five months to final manuscript, subject to reviewer turnaround. The author is open to expanding chapters or adding material at the editor's direction; the estimate assumes the current scope.</w:t>
      </w:r>
    </w:p>
    <w:p>
      <w:pPr>
        <w:pStyle w:val="Heading1"/>
        <w:spacing w:after="160" w:before="320"/>
      </w:pPr>
      <w:r>
        <w:t xml:space="preserve">12. Technical Reviewers</w:t>
      </w:r>
    </w:p>
    <w:p>
      <w:pPr>
        <w:pBdr>
          <w:left w:val="single" w:color="BBBBBB" w:sz="12" w:space="10"/>
        </w:pBdr>
        <w:spacing w:after="200" w:before="120"/>
        <w:ind w:left="504"/>
      </w:pPr>
      <w:r>
        <w:rPr>
          <w:b/>
          <w:bCs/>
          <w:i/>
          <w:iCs/>
          <w:color w:val="444444"/>
        </w:rPr>
        <w:t xml:space="preserve">For the author to confirm.</w:t>
      </w:r>
      <w:r>
        <w:rPr>
          <w:i/>
          <w:iCs/>
          <w:color w:val="444444"/>
        </w:rPr>
        <w:t xml:space="preserve"> The four below were proposed for a different book. Ivan Damnjanovic is a direct fit, being co-author on both of the project risk publications this book draws on. The others should be re-checked for relevance to project risk specifically before submitting.</w:t>
      </w:r>
    </w:p>
    <w:p>
      <w:pPr>
        <w:pStyle w:val="ListParagraph"/>
        <w:numPr>
          <w:ilvl w:val="0"/>
          <w:numId w:val="2"/>
        </w:numPr>
        <w:spacing w:after="100" w:line="276"/>
      </w:pPr>
      <w:r>
        <w:t xml:space="preserve">Ivan Damnjanovic, Professor, Texas A&amp;M University — ddivan@gmail.com</w:t>
      </w:r>
    </w:p>
    <w:p>
      <w:pPr>
        <w:pStyle w:val="ListParagraph"/>
        <w:numPr>
          <w:ilvl w:val="0"/>
          <w:numId w:val="2"/>
        </w:numPr>
        <w:spacing w:after="100" w:line="276"/>
      </w:pPr>
      <w:r>
        <w:t xml:space="preserve">Pierre Brandicourt, Risk Manager, Sempra Infrastructure — pbrandicourt@gmail.com</w:t>
      </w:r>
    </w:p>
    <w:p>
      <w:pPr>
        <w:pStyle w:val="ListParagraph"/>
        <w:numPr>
          <w:ilvl w:val="0"/>
          <w:numId w:val="2"/>
        </w:numPr>
        <w:spacing w:after="100" w:line="276"/>
      </w:pPr>
      <w:r>
        <w:t xml:space="preserve">Brad Foulkes, Founder, Gapz Analytics — bfoulkes@gmail.com</w:t>
      </w:r>
    </w:p>
    <w:p>
      <w:pPr>
        <w:pStyle w:val="ListParagraph"/>
        <w:numPr>
          <w:ilvl w:val="0"/>
          <w:numId w:val="2"/>
        </w:numPr>
        <w:spacing w:after="100" w:line="276"/>
      </w:pPr>
      <w:r>
        <w:t xml:space="preserve">Ken (Myungkeun) Yoon, Senior Principal Systems Engineer, Raytheon Technologies — manggun.yoon@gmail.com</w:t>
      </w:r>
    </w:p>
    <w:p>
      <w:pPr>
        <w:spacing w:after="80"/>
      </w:pPr>
    </w:p>
    <w:p>
      <w:pPr>
        <w:pStyle w:val="Heading1"/>
        <w:spacing w:after="160" w:before="320"/>
      </w:pPr>
      <w:r>
        <w:t xml:space="preserve">13. Manuscript Status and Open Items</w:t>
      </w:r>
    </w:p>
    <w:p>
      <w:pPr>
        <w:spacing w:after="160" w:line="276"/>
      </w:pPr>
      <w:r>
        <w:rPr>
          <w:b/>
          <w:bCs/>
        </w:rPr>
        <w:t xml:space="preserve">Status.</w:t>
      </w:r>
      <w:r>
        <w:t xml:space="preserve"> Complete draft, publicly readable at https://paulgovan.github.io/PRA/book/, and built reproducibly from the same repository as the </w:t>
      </w:r>
      <w:r>
        <w:rPr>
          <w:rFonts w:ascii="Consolas" w:cs="Consolas" w:eastAsia="Consolas" w:hAnsi="Consolas"/>
          <w:sz w:val="20"/>
          <w:szCs w:val="20"/>
        </w:rPr>
        <w:t xml:space="preserve">PRA</w:t>
      </w:r>
      <w:r>
        <w:t xml:space="preserve"> package.</w:t>
      </w:r>
    </w:p>
    <w:p>
      <w:pPr>
        <w:spacing w:after="160" w:line="276"/>
      </w:pPr>
      <w:r>
        <w:rPr>
          <w:b/>
          <w:bCs/>
        </w:rPr>
        <w:t xml:space="preserve">Licensing — for discussion.</w:t>
      </w:r>
      <w:r>
        <w:t xml:space="preserve"> The </w:t>
      </w:r>
      <w:r>
        <w:rPr>
          <w:rFonts w:ascii="Consolas" w:cs="Consolas" w:eastAsia="Consolas" w:hAnsi="Consolas"/>
          <w:sz w:val="20"/>
          <w:szCs w:val="20"/>
        </w:rPr>
        <w:t xml:space="preserve">PRA</w:t>
      </w:r>
      <w:r>
        <w:t xml:space="preserve"> package is MIT licensed. The current book text is published under CC BY 4.0 and is freely readable online. This is raised deliberately rather than left to be discovered: the existing free edition and its license terms are a point to settle with the publisher early. The author is open to discussing how the published edition and the online draft should relate.</w:t>
      </w:r>
    </w:p>
    <w:p>
      <w:pPr>
        <w:spacing w:after="160" w:line="276"/>
      </w:pPr>
      <w:r>
        <w:rPr>
          <w:b/>
          <w:bCs/>
        </w:rPr>
        <w:t xml:space="preserve">Use of AI in the writing process.</w:t>
      </w:r>
    </w:p>
    <w:p>
      <w:pPr>
        <w:pBdr>
          <w:left w:val="single" w:color="BBBBBB" w:sz="12" w:space="10"/>
        </w:pBdr>
        <w:spacing w:after="200" w:before="120"/>
        <w:ind w:left="504"/>
      </w:pPr>
      <w:r>
        <w:rPr>
          <w:i/>
          <w:iCs/>
          <w:color w:val="444444"/>
        </w:rPr>
        <w:t xml:space="preserve">To be answered by the author.</w:t>
      </w:r>
      <w:r>
        <w:rPr>
          <w:i/>
          <w:iCs/>
          <w:color w:val="444444"/>
        </w:rPr>
        <w:t xml:space="preserve"> Most publishers now ask this and several require disclosure. Answer it personally and accurately, against the specific publisher's stated AI policy.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rFonts w:ascii="Calibri" w:cs="Calibri" w:eastAsia="Calibri" w:hAnsi="Calibri"/>
      <w:b/>
      <w:bCs/>
      <w:color w:val="1A1A1A"/>
      <w:sz w:val="36"/>
      <w:szCs w:val="36"/>
    </w:rPr>
  </w:style>
  <w:style w:type="paragraph" w:styleId="Heading1">
    <w:name w:val="Heading 1"/>
    <w:basedOn w:val="Normal"/>
    <w:next w:val="Normal"/>
    <w:qFormat/>
    <w:rPr>
      <w:rFonts w:ascii="Calibri" w:cs="Calibri" w:eastAsia="Calibri" w:hAnsi="Calibri"/>
      <w:b/>
      <w:bCs/>
      <w:color w:val="1F3864"/>
      <w:sz w:val="28"/>
      <w:szCs w:val="28"/>
    </w:rPr>
  </w:style>
  <w:style w:type="paragraph" w:styleId="Heading2">
    <w:name w:val="Heading 2"/>
    <w:basedOn w:val="Normal"/>
    <w:next w:val="Normal"/>
    <w:qFormat/>
    <w:rPr>
      <w:rFonts w:ascii="Calibri" w:cs="Calibri" w:eastAsia="Calibri" w:hAnsi="Calibri"/>
      <w:b/>
      <w:bCs/>
      <w:color w:val="2E509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rpqytmqyw2fsvd4imws-" Type="http://schemas.openxmlformats.org/officeDocument/2006/relationships/hyperlink" Target="https://orcid.org/0000-0002-1821-8492"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2026-09-21T01:30:21.306Z</dcterms:created>
  <dcterms:modified xsi:type="dcterms:W3CDTF">2026-09-21T01:30:21.317Z</dcterms:modified>
</cp:coreProperties>
</file>

<file path=docProps/custom.xml><?xml version="1.0" encoding="utf-8"?>
<Properties xmlns="http://schemas.openxmlformats.org/officeDocument/2006/custom-properties" xmlns:vt="http://schemas.openxmlformats.org/officeDocument/2006/docPropsVTypes"/>
</file>