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t xml:space="preserve">Book Proposal</w:t>
      </w:r>
    </w:p>
    <w:p>
      <w:pPr>
        <w:spacing w:after="160" w:line="276"/>
      </w:pPr>
      <w:r>
        <w:rPr>
          <w:i/>
          <w:iCs/>
        </w:rPr>
        <w:t xml:space="preserve">Drafted against O'Reilly's standard proposal sections. If the ORM template's headings differ, the content below maps onto them section for section.</w:t>
      </w:r>
    </w:p>
    <w:p>
      <w:pPr>
        <w:pStyle w:val="Heading1"/>
        <w:spacing w:after="160" w:before="320"/>
      </w:pPr>
      <w:r>
        <w:t xml:space="preserve">1. Proposed Title</w:t>
      </w:r>
    </w:p>
    <w:p>
      <w:pPr>
        <w:spacing w:after="160" w:line="276"/>
      </w:pPr>
      <w:r>
        <w:rPr>
          <w:b/>
          <w:bCs/>
        </w:rPr>
        <w:t xml:space="preserve">Project Risk Analysis: A Practical Guide</w:t>
      </w:r>
      <w:r>
        <w:t xml:space="preserve"> Subtitle: </w:t>
      </w:r>
      <w:r>
        <w:rPr>
          <w:i/>
          <w:iCs/>
        </w:rPr>
        <w:t xml:space="preserve">From Monte Carlo to AI Agents</w:t>
      </w:r>
    </w:p>
    <w:p>
      <w:pPr>
        <w:pStyle w:val="Heading1"/>
        <w:spacing w:after="160" w:before="320"/>
      </w:pPr>
      <w:r>
        <w:t xml:space="preserve">2. Author</w:t>
      </w:r>
    </w:p>
    <w:p>
      <w:pPr>
        <w:spacing w:after="160" w:line="276"/>
      </w:pPr>
      <w:r>
        <w:t xml:space="preserve">Paul Govan — paul.govan2@gmail.com — ORCID </w:t>
      </w:r>
      <w:hyperlink w:history="1" r:id="rId1ovgjhzw7w21k_ku9spuy">
        <w:r>
          <w:rPr>
            <w:rStyle w:val="Hyperlink"/>
          </w:rPr>
          <w:t xml:space="preserve">0000-0002-1821-8492</w:t>
        </w:r>
      </w:hyperlink>
    </w:p>
    <w:p>
      <w:pPr>
        <w:pStyle w:val="Heading1"/>
        <w:spacing w:after="160" w:before="320"/>
      </w:pPr>
      <w:r>
        <w:t xml:space="preserve">3. Topic</w:t>
      </w:r>
    </w:p>
    <w:p>
      <w:pPr>
        <w:spacing w:after="160" w:line="276"/>
      </w:pPr>
      <w:r>
        <w:t xml:space="preserve">This is a hands-on introduction to quantitative methods for managing uncertainty in project schedules and costs. It covers the techniques risk analysts actually use — Monte Carlo simulation, the second moment method, sensitivity analysis, earned value management, Bayesian inference, learning curves, design structure matrices, and probabilistic networks — and teaches each one through working R code built on the </w:t>
      </w:r>
      <w:r>
        <w:rPr>
          <w:rFonts w:ascii="Consolas" w:cs="Consolas" w:eastAsia="Consolas" w:hAnsi="Consolas"/>
          <w:sz w:val="20"/>
          <w:szCs w:val="20"/>
        </w:rPr>
        <w:t xml:space="preserve">PRA</w:t>
      </w:r>
      <w:r>
        <w:t xml:space="preserve"> package.</w:t>
      </w:r>
    </w:p>
    <w:p>
      <w:pPr>
        <w:spacing w:after="160" w:line="276"/>
      </w:pPr>
      <w:r>
        <w:t xml:space="preserve">The book's argument is that project risk analysis has a tooling problem, not a theory problem. The mathematics has been settled for decades. What practitioners lack is a way to run these methods that is reproducible, auditable, and not a spreadsheet named </w:t>
      </w:r>
      <w:r>
        <w:rPr>
          <w:rFonts w:ascii="Consolas" w:cs="Consolas" w:eastAsia="Consolas" w:hAnsi="Consolas"/>
          <w:sz w:val="20"/>
          <w:szCs w:val="20"/>
        </w:rPr>
        <w:t xml:space="preserve">Final_v3_REVISED_use_this_one.xlsx</w:t>
      </w:r>
      <w:r>
        <w:t xml:space="preserve"> with three broken formulas. Every code block in the book executes at build time against the live package, so the numbers on the page are computed, not transcribed.</w:t>
      </w:r>
    </w:p>
    <w:p>
      <w:pPr>
        <w:spacing w:after="160" w:line="276"/>
      </w:pPr>
      <w:r>
        <w:t xml:space="preserve">The goal for the reader is concrete: take a project estimate, ask the right "what if" questions, and produce defensible numbers for schedule and cost contingency.</w:t>
      </w:r>
    </w:p>
    <w:p>
      <w:pPr>
        <w:pStyle w:val="Heading1"/>
        <w:spacing w:after="160" w:before="320"/>
      </w:pPr>
      <w:r>
        <w:t xml:space="preserve">4. Why This Topic, Why Now</w:t>
      </w:r>
    </w:p>
    <w:p>
      <w:pPr>
        <w:spacing w:after="160" w:line="276"/>
      </w:pPr>
      <w:r>
        <w:t xml:space="preserve">Two developments make this the right moment for this book.</w:t>
      </w:r>
    </w:p>
    <w:p>
      <w:pPr>
        <w:spacing w:after="160" w:line="276"/>
      </w:pPr>
      <w:r>
        <w:rPr>
          <w:b/>
          <w:bCs/>
        </w:rPr>
        <w:t xml:space="preserve">Reproducibility has become an expectation.</w:t>
      </w:r>
      <w:r>
        <w:t xml:space="preserve"> Risk estimates increasingly have to survive audit, and "trust the spreadsheet" no longer clears that bar. A literate-programming workflow — analysis and narrative in one document, rendered fresh on every build — is now standard practice in data-driven fields and is arriving in project controls. The book devotes a full chapter to building reproducible and parameterized risk reports in Quarto.</w:t>
      </w:r>
    </w:p>
    <w:p>
      <w:pPr>
        <w:spacing w:after="160" w:line="276"/>
      </w:pPr>
      <w:r>
        <w:rPr>
          <w:b/>
          <w:bCs/>
        </w:rPr>
        <w:t xml:space="preserve">AI agents can now drive analytical tooling directly.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</w:rPr>
        <w:t xml:space="preserve">PRA</w:t>
      </w:r>
      <w:r>
        <w:t xml:space="preserve"> package exposes its analytical functions as tools over the Model Context Protocol and ships Agent Skills that tell an agent when and how to call each one. A project manager can ask for a P95 date and a contingency reserve in plain language and get back real computed output rather than a plausible-sounding guess. To our knowledge no existing project-risk title covers this. It is the book's clearest differentiator, and the final chapter is devoted to it.</w:t>
      </w:r>
    </w:p>
    <w:p>
      <w:pPr>
        <w:spacing w:after="160" w:line="276"/>
      </w:pPr>
      <w:r>
        <w:t xml:space="preserve">Monte Carlo simulation is well-trodden ground and is treated here as table stakes. The distinctive contribution is the workflow wrapped around it: reproducible, tested, version-controllable, and agent-addressable.</w:t>
      </w:r>
    </w:p>
    <w:p>
      <w:pPr>
        <w:pStyle w:val="Heading1"/>
        <w:spacing w:after="160" w:before="320"/>
      </w:pPr>
      <w:r>
        <w:t xml:space="preserve">5. Audience</w:t>
      </w:r>
    </w:p>
    <w:p>
      <w:pPr>
        <w:spacing w:after="160" w:line="276"/>
      </w:pPr>
      <w:r>
        <w:t xml:space="preserve">The primary readers are: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Project managers</w:t>
      </w:r>
      <w:r>
        <w:t xml:space="preserve"> who want to move past gut-feel estimates and "10% contingency, because that's what we always do"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Engineers and analysts</w:t>
      </w:r>
      <w:r>
        <w:t xml:space="preserve"> who know statistics but have not applied it to project risk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Students</w:t>
      </w:r>
      <w:r>
        <w:t xml:space="preserve"> in construction management, systems engineering, and operations research programs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R users</w:t>
      </w:r>
      <w:r>
        <w:t xml:space="preserve"> who want practical, well-documented risk analysis workflows</w:t>
      </w:r>
    </w:p>
    <w:p>
      <w:pPr>
        <w:spacing w:after="80"/>
      </w:pPr>
    </w:p>
    <w:p>
      <w:pPr>
        <w:spacing w:after="160" w:line="276"/>
      </w:pPr>
      <w:r>
        <w:rPr>
          <w:b/>
          <w:bCs/>
        </w:rPr>
        <w:t xml:space="preserve">Assumed background:</w:t>
      </w:r>
      <w:r>
        <w:t xml:space="preserve"> basic probability — what a mean is, what a variance is — and passing familiarity with R. The reader does not need to be a statistician. Mathematical derivations are available in an appendix for readers who want them, so the main text stays readable without them.</w:t>
      </w:r>
    </w:p>
    <w:p>
      <w:pPr>
        <w:pStyle w:val="Heading1"/>
        <w:spacing w:after="160" w:before="320"/>
      </w:pPr>
      <w:r>
        <w:t xml:space="preserve">6. What Readers Will Be Able to Do</w:t>
      </w:r>
    </w:p>
    <w:p>
      <w:pPr>
        <w:spacing w:after="160" w:line="276"/>
      </w:pPr>
      <w:r>
        <w:t xml:space="preserve">After working through the book, a reader can: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Build a Monte Carlo model of a project schedule or budget and read percentiles correctly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Size a contingency reserve to a stated confidence level and defend the number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Identify which tasks actually drive total uncertainty, using variance decomposition rather than intuition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Choose between a full simulation and a second-moment approximation, and know why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Track and forecast project performance with earned value metrics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Update a risk assessment formally when new evidence arrives, instead of arguing about it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Forecast completion by fitting a learning curve to early progress data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Model how risks propagate across a portfolio through shared root causes, and distinguish observing a risk from intervening on it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Package the whole analysis as a reproducible report that re-runs cleanly in two years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Expose these methods to an AI agent and supervise its work competently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7. Key Features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Every result is computed, not transcribed.</w:t>
      </w:r>
      <w:r>
        <w:t xml:space="preserve"> The book is a Quarto project rendered against the live </w:t>
      </w:r>
      <w:r>
        <w:rPr>
          <w:rFonts w:ascii="Consolas" w:cs="Consolas" w:eastAsia="Consolas" w:hAnsi="Consolas"/>
          <w:sz w:val="20"/>
          <w:szCs w:val="20"/>
        </w:rPr>
        <w:t xml:space="preserve">PRA</w:t>
      </w:r>
      <w:r>
        <w:t xml:space="preserve"> package. If a function's behavior changes, the build breaks loudly rather than going quietly stale.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One method per chapter, uniform structure.</w:t>
      </w:r>
      <w:r>
        <w:t xml:space="preserve"> Each chapter answers "when would I actually use this?", supplies just enough theory, works a complete example, and ends with exercises.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Exercises with full solutions.</w:t>
      </w:r>
      <w:r>
        <w:t xml:space="preserve"> 10–15 per chapter, ranging from "verify you followed along" to "extend this to a real scenario," with worked solutions in an appendix.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One project carried end to end.</w:t>
      </w:r>
      <w:r>
        <w:t xml:space="preserve"> A case study appendix applies all nine methods to a single bridge-replacement project, so the reader sees how the techniques compose rather than meeting them in isolation.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Backed by a real package.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PRA</w:t>
      </w:r>
      <w:r>
        <w:t xml:space="preserve"> is on CRAN, with a full test suite, continuous integration on three platforms, code coverage reporting, and a documentation site. The code in the book is maintained software, not listings.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Complete supporting apparatus.</w:t>
      </w:r>
      <w:r>
        <w:t xml:space="preserve"> Glossary, mathematical derivations, and a quick-reference card are already written.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8. Competing and Related Titles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4"/>
        <w:gridCol w:w="6246"/>
      </w:tblGrid>
      <w:tr>
        <w:trPr>
          <w:tblHeader/>
        </w:trPr>
        <w:tc>
          <w:tcPr>
            <w:tcW w:type="dxa" w:w="3114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246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Relationship</w:t>
            </w:r>
          </w:p>
        </w:tc>
      </w:tr>
      <w:tr>
        <w:trPr>
          <w:tblHeader w:val="false"/>
        </w:trPr>
        <w:tc>
          <w:tcPr>
            <w:tcW w:type="dxa" w:w="31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Vose, </w:t>
            </w:r>
            <w:r>
              <w:rPr>
                <w:i/>
                <w:iCs/>
              </w:rPr>
              <w:t xml:space="preserve">Risk Analysis: A Quantitative Guide</w:t>
            </w:r>
            <w:r>
              <w:t xml:space="preserve">, 3rd ed. (Wiley, 2008)</w:t>
            </w:r>
          </w:p>
        </w:tc>
        <w:tc>
          <w:tcPr>
            <w:tcW w:type="dxa" w:w="6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closest competitor and the standard reference. Broader and more theoretical, but tied to commercial spreadsheet add-ins, not reproducible, and now over fifteen years old. Covers no agentic or literate-programming workflow.</w:t>
            </w:r>
          </w:p>
        </w:tc>
      </w:tr>
      <w:tr>
        <w:trPr>
          <w:tblHeader w:val="false"/>
        </w:trPr>
        <w:tc>
          <w:tcPr>
            <w:tcW w:type="dxa" w:w="31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PMI, </w:t>
            </w:r>
            <w:r>
              <w:rPr>
                <w:i/>
                <w:iCs/>
              </w:rPr>
              <w:t xml:space="preserve">A Guide to the Project Management Body of Knowledge (PMBOK Guide)</w:t>
            </w:r>
            <w:r>
              <w:t xml:space="preserve">, 7th ed. (2021)</w:t>
            </w:r>
          </w:p>
        </w:tc>
        <w:tc>
          <w:tcPr>
            <w:tcW w:type="dxa" w:w="6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 standards document. Says what should be done; does not show how to compute it. Complementary — this book supplies the implementation PMBOK leaves to the reader.</w:t>
            </w:r>
          </w:p>
        </w:tc>
      </w:tr>
      <w:tr>
        <w:trPr>
          <w:tblHeader w:val="false"/>
        </w:trPr>
        <w:tc>
          <w:tcPr>
            <w:tcW w:type="dxa" w:w="31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Fleming &amp; Koppelman, </w:t>
            </w:r>
            <w:r>
              <w:rPr>
                <w:i/>
                <w:iCs/>
              </w:rPr>
              <w:t xml:space="preserve">Earned Value Project Management</w:t>
            </w:r>
            <w:r>
              <w:t xml:space="preserve">, 4th ed. (PMI, 2010)</w:t>
            </w:r>
          </w:p>
        </w:tc>
        <w:tc>
          <w:tcPr>
            <w:tcW w:type="dxa" w:w="6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Authoritative on EVM alone, which this book covers in one chapter of twelve. Non-overlapping otherwise.</w:t>
            </w:r>
          </w:p>
        </w:tc>
      </w:tr>
      <w:tr>
        <w:trPr>
          <w:tblHeader w:val="false"/>
        </w:trPr>
        <w:tc>
          <w:tcPr>
            <w:tcW w:type="dxa" w:w="31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Benjamin &amp; Cornell, </w:t>
            </w:r>
            <w:r>
              <w:rPr>
                <w:i/>
                <w:iCs/>
              </w:rPr>
              <w:t xml:space="preserve">Probability, Statistics, and Decision for Civil Engineers</w:t>
            </w:r>
            <w:r>
              <w:t xml:space="preserve"> (Dover)</w:t>
            </w:r>
          </w:p>
        </w:tc>
        <w:tc>
          <w:tcPr>
            <w:tcW w:type="dxa" w:w="624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Foundational and still excellent on theory, but a general engineering-statistics text, not project-specific, and offers no software workflow.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Adjacent but non-competing: Hubbard's </w:t>
      </w:r>
      <w:r>
        <w:rPr>
          <w:i/>
          <w:iCs/>
        </w:rPr>
        <w:t xml:space="preserve">How to Measure Anything</w:t>
      </w:r>
      <w:r>
        <w:t xml:space="preserve"> and Savage's </w:t>
      </w:r>
      <w:r>
        <w:rPr>
          <w:i/>
          <w:iCs/>
        </w:rPr>
        <w:t xml:space="preserve">The Flaw of Averages</w:t>
      </w:r>
      <w:r>
        <w:t xml:space="preserve"> make the case for quantifying uncertainty but stop short of supplying a working toolkit. This book is the practical follow-on for readers those titles have already persuaded.</w:t>
      </w:r>
    </w:p>
    <w:p>
      <w:pPr>
        <w:spacing w:after="160" w:line="276"/>
      </w:pPr>
      <w:r>
        <w:rPr>
          <w:b/>
          <w:bCs/>
        </w:rPr>
        <w:t xml:space="preserve">The gap:</w:t>
      </w:r>
      <w:r>
        <w:t xml:space="preserve"> no current title combines project risk methods with a tested, open-source, reproducible toolchain — and none addresses agent-driven analysis.</w:t>
      </w:r>
    </w:p>
    <w:p>
      <w:pPr>
        <w:pStyle w:val="Heading1"/>
        <w:spacing w:after="160" w:before="320"/>
      </w:pPr>
      <w:r>
        <w:t xml:space="preserve">9. Author Background and Platform</w:t>
      </w:r>
    </w:p>
    <w:p>
      <w:pPr>
        <w:spacing w:after="160" w:line="276"/>
      </w:pPr>
      <w:r>
        <w:t xml:space="preserve">Paul Govan holds a PhD from The University of Texas at Austin (2014), where his dissertation developed a resource-based view of project risk management. His peer-reviewed work on the subject includes: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Govan &amp; Damnjanovic (2016), "The Resource-Based View on Project Risk Management," </w:t>
      </w:r>
      <w:r>
        <w:rPr>
          <w:i/>
          <w:iCs/>
        </w:rPr>
        <w:t xml:space="preserve">Journal of Construction Engineering and Management</w:t>
      </w:r>
      <w:r>
        <w:t xml:space="preserve"> 142(9)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Govan &amp; Damnjanovic (2020), "Structural Network Measures for Risk Assessment of Construction Projects," </w:t>
      </w:r>
      <w:r>
        <w:rPr>
          <w:i/>
          <w:iCs/>
        </w:rPr>
        <w:t xml:space="preserve">ASCE-ASME Journal of Risk and Uncertainty in Engineering Systems, Part A: Civil Engineering</w:t>
      </w:r>
    </w:p>
    <w:p>
      <w:pPr>
        <w:spacing w:after="80"/>
      </w:pPr>
    </w:p>
    <w:p>
      <w:pPr>
        <w:spacing w:after="160" w:line="276"/>
      </w:pPr>
      <w:r>
        <w:t xml:space="preserve">He is the author and maintainer of </w:t>
      </w:r>
      <w:r>
        <w:rPr>
          <w:rFonts w:ascii="Consolas" w:cs="Consolas" w:eastAsia="Consolas" w:hAnsi="Consolas"/>
          <w:sz w:val="20"/>
          <w:szCs w:val="20"/>
        </w:rPr>
        <w:t xml:space="preserve">PRA</w:t>
      </w:r>
      <w:r>
        <w:t xml:space="preserve">, published on CRAN (currently v0.7.0, DOI 10.32614/CRAN.package.PRA), which gives the book a built-in distribution channel: readers arrive at the package through CRAN and the R ecosystem, and the book is the package's documentation in long form.</w:t>
      </w:r>
    </w:p>
    <w:p>
      <w:pPr>
        <w:spacing w:after="160" w:line="276"/>
      </w:pPr>
      <w:r>
        <w:t xml:space="preserve">The draft is already public as a Quarto site at https://paulgovan.github.io/PRA/book/.</w:t>
      </w:r>
    </w:p>
    <w:p>
      <w:pPr>
        <w:pBdr>
          <w:left w:val="single" w:color="BBBBBB" w:sz="12" w:space="10"/>
        </w:pBdr>
        <w:spacing w:after="200" w:before="120"/>
        <w:ind w:left="504"/>
      </w:pPr>
      <w:r>
        <w:rPr>
          <w:i/>
          <w:iCs/>
          <w:color w:val="444444"/>
        </w:rPr>
        <w:t xml:space="preserve">To be completed by the author: current professional affiliation and title; speaking, teaching, or conference activity; social and newsletter following; and any other channels available for promotion.</w:t>
      </w:r>
    </w:p>
    <w:p>
      <w:pPr>
        <w:pStyle w:val="Heading1"/>
        <w:spacing w:after="160" w:before="320"/>
      </w:pPr>
      <w:r>
        <w:t xml:space="preserve">10. Annotated Table of Contents</w:t>
      </w:r>
    </w:p>
    <w:p>
      <w:pPr>
        <w:spacing w:after="160" w:line="276"/>
      </w:pPr>
      <w:r>
        <w:t xml:space="preserve">Twelve chapters and six appendices. Each chapter follows the same four-part structure and ends with exercises.</w:t>
      </w:r>
    </w:p>
    <w:p>
      <w:pPr>
        <w:spacing w:after="160" w:line="276"/>
      </w:pPr>
      <w:r>
        <w:rPr>
          <w:b/>
          <w:bCs/>
        </w:rPr>
        <w:t xml:space="preserve">Front matter — Preface.</w:t>
      </w:r>
      <w:r>
        <w:t xml:space="preserve"> What the book covers, who it is for, how to read it, and why the analysis is done in code rather than a spreadsheet.</w:t>
      </w:r>
    </w:p>
    <w:p>
      <w:pPr>
        <w:spacing w:after="160" w:line="276"/>
      </w:pPr>
      <w:r>
        <w:rPr>
          <w:b/>
          <w:bCs/>
        </w:rPr>
        <w:t xml:space="preserve">1. Into the Unknown: An Introduction to Project Risk Analysis.</w:t>
      </w:r>
      <w:r>
        <w:t xml:space="preserve"> Defines risk as uncertainty that matters, separates probability from impact, maps the methods covered in the book, and addresses the garbage-in-garbage-out objection head on.</w:t>
      </w:r>
    </w:p>
    <w:p>
      <w:pPr>
        <w:spacing w:after="160" w:line="276"/>
      </w:pPr>
      <w:r>
        <w:rPr>
          <w:b/>
          <w:bCs/>
        </w:rPr>
        <w:t xml:space="preserve">2. Roll the Dice: Monte Carlo Simulation.</w:t>
      </w:r>
      <w:r>
        <w:t xml:space="preserve"> The five steps of a simulation, how to read percentiles correctly, and how to convert a distribution into a contingency reserve.</w:t>
      </w:r>
    </w:p>
    <w:p>
      <w:pPr>
        <w:spacing w:after="160" w:line="276"/>
      </w:pPr>
      <w:r>
        <w:rPr>
          <w:b/>
          <w:bCs/>
        </w:rPr>
        <w:t xml:space="preserve">3. May I Have a (Second) Moment? The Second Moment Method.</w:t>
      </w:r>
      <w:r>
        <w:t xml:space="preserve"> A defensible thirty-second estimate from means, variances, and a correlation matrix. Includes an explicit decision rule for when it is adequate and when it is not, validated against Monte Carlo.</w:t>
      </w:r>
    </w:p>
    <w:p>
      <w:pPr>
        <w:spacing w:after="160" w:line="276"/>
      </w:pPr>
      <w:r>
        <w:rPr>
          <w:b/>
          <w:bCs/>
        </w:rPr>
        <w:t xml:space="preserve">4. Who's Driving? Sensitivity Analysis.</w:t>
      </w:r>
      <w:r>
        <w:t xml:space="preserve"> Variance decomposition to find the tasks that actually drive total uncertainty, tornado charts, and what changes when tasks are correlated.</w:t>
      </w:r>
    </w:p>
    <w:p>
      <w:pPr>
        <w:spacing w:after="160" w:line="276"/>
      </w:pPr>
      <w:r>
        <w:rPr>
          <w:b/>
          <w:bCs/>
        </w:rPr>
        <w:t xml:space="preserve">5. Keeping Score: Earned Value Management.</w:t>
      </w:r>
      <w:r>
        <w:t xml:space="preserve"> Planned value, earned value, and actual cost; schedule and cost variances and indices; forecasting estimate at completion; performance trend charts.</w:t>
      </w:r>
    </w:p>
    <w:p>
      <w:pPr>
        <w:spacing w:after="160" w:line="276"/>
      </w:pPr>
      <w:r>
        <w:rPr>
          <w:b/>
          <w:bCs/>
        </w:rPr>
        <w:t xml:space="preserve">6. I Had a Feeling: Bayesian Risk Inference.</w:t>
      </w:r>
      <w:r>
        <w:t xml:space="preserve"> Bayes' theorem in plain language, then a full prior-to-posterior workflow updating both a risk probability and its cost distribution when evidence arrives.</w:t>
      </w:r>
    </w:p>
    <w:p>
      <w:pPr>
        <w:spacing w:after="160" w:line="276"/>
      </w:pPr>
      <w:r>
        <w:rPr>
          <w:b/>
          <w:bCs/>
        </w:rPr>
        <w:t xml:space="preserve">7. S Is for Success: Sigmoidal Learning Curves.</w:t>
      </w:r>
      <w:r>
        <w:t xml:space="preserve"> Fitting logistic, Gompertz, and Pearl models to early progress data to forecast completion — including why two of the three are the same model in disguise.</w:t>
      </w:r>
    </w:p>
    <w:p>
      <w:pPr>
        <w:spacing w:after="160" w:line="276"/>
      </w:pPr>
      <w:r>
        <w:rPr>
          <w:b/>
          <w:bCs/>
        </w:rPr>
        <w:t xml:space="preserve">8. It's a Small World After All: Probabilistic Networks.</w:t>
      </w:r>
      <w:r>
        <w:t xml:space="preserve"> Bayesian networks as a model of how risks flow through resources into task costs; forward simulation, incorporating evidence, and modifying network structure.</w:t>
      </w:r>
    </w:p>
    <w:p>
      <w:pPr>
        <w:spacing w:after="160" w:line="276"/>
      </w:pPr>
      <w:r>
        <w:rPr>
          <w:b/>
          <w:bCs/>
        </w:rPr>
        <w:t xml:space="preserve">9. Everything Is Connected: Design Structure Matrices.</w:t>
      </w:r>
      <w:r>
        <w:t xml:space="preserve"> A simpler structural question — which tasks are coupled because they share crews, equipment, or materials — answered by deriving parent and grandparent DSMs from the network built in Chapter 8, and used to prioritize mitigation.</w:t>
      </w:r>
    </w:p>
    <w:p>
      <w:pPr>
        <w:spacing w:after="160" w:line="276"/>
      </w:pPr>
      <w:r>
        <w:rPr>
          <w:b/>
          <w:bCs/>
        </w:rPr>
        <w:t xml:space="preserve">10. The Portfolio Problem: When Risks Are Shared.</w:t>
      </w:r>
      <w:r>
        <w:t xml:space="preserve"> Scaling to three projects with a common upstream root cause, and the distinction that matters most for enterprise risk: seeing a risk occur versus intervening to prevent it. Observational versus interventional distributions, and risk importance ranking.</w:t>
      </w:r>
    </w:p>
    <w:p>
      <w:pPr>
        <w:spacing w:after="160" w:line="276"/>
      </w:pPr>
      <w:r>
        <w:rPr>
          <w:b/>
          <w:bCs/>
        </w:rPr>
        <w:t xml:space="preserve">11. Write Once, Trust Always: Reproducible Risk Analysis with Quarto.</w:t>
      </w:r>
      <w:r>
        <w:t xml:space="preserve"> The reproducibility gap in project controls and how to close it: literate risk reports, reproducible versus merely repeatable analysis, and parameterized reports that re-run across projects and scenarios.</w:t>
      </w:r>
    </w:p>
    <w:p>
      <w:pPr>
        <w:spacing w:after="160" w:line="276"/>
      </w:pPr>
      <w:r>
        <w:rPr>
          <w:b/>
          <w:bCs/>
        </w:rPr>
        <w:t xml:space="preserve">12. Your AI Co-Pilot: Agentic Risk Analysis.</w:t>
      </w:r>
      <w:r>
        <w:t xml:space="preserve"> Exposing the analytical functions as tools over the Model Context Protocol; the Agent Skills that tell an agent when and how to call each one; how a plain-language request becomes a tool call; and how to supervise the result.</w:t>
      </w:r>
    </w:p>
    <w:p>
      <w:pPr>
        <w:spacing w:after="160" w:line="276"/>
      </w:pPr>
      <w:r>
        <w:rPr>
          <w:b/>
          <w:bCs/>
        </w:rPr>
        <w:t xml:space="preserve">Appendices.</w:t>
      </w:r>
      <w:r>
        <w:t xml:space="preserve"> A: Glossary. B: Mathematical derivations, for readers who want the variance and Bayesian updating results proved. C: Quick reference — every function, grouped by method. D: Case study — Riverside Bridge Replacement, all nine methods applied to one project in sequence. E: Exercise solutions, worked in full. F: References.</w:t>
      </w:r>
    </w:p>
    <w:p>
      <w:pPr>
        <w:pStyle w:val="Heading1"/>
        <w:spacing w:after="160" w:before="320"/>
      </w:pPr>
      <w:r>
        <w:t xml:space="preserve">11. Length and Schedule</w:t>
      </w:r>
    </w:p>
    <w:p>
      <w:pPr>
        <w:spacing w:after="160" w:line="276"/>
      </w:pPr>
      <w:r>
        <w:rPr>
          <w:b/>
          <w:bCs/>
        </w:rPr>
        <w:t xml:space="preserve">Current length.</w:t>
      </w:r>
      <w:r>
        <w:t xml:space="preserve"> Approximately 31,000 words of source across the twelve chapters and six appendices, plus executable code and generated figures. Estimated at </w:t>
      </w:r>
      <w:r>
        <w:rPr>
          <w:b/>
          <w:bCs/>
        </w:rPr>
        <w:t xml:space="preserve">150–200 printed pages</w:t>
      </w:r>
      <w:r>
        <w:t xml:space="preserve"> once code output, figures, and front and back matter are typeset.</w:t>
      </w:r>
    </w:p>
    <w:p>
      <w:pPr>
        <w:spacing w:after="160" w:line="276"/>
      </w:pPr>
      <w:r>
        <w:rPr>
          <w:b/>
          <w:bCs/>
        </w:rPr>
        <w:t xml:space="preserve">Status.</w:t>
      </w:r>
      <w:r>
        <w:t xml:space="preserve"> A complete draft of all chapters and appendices exists and is public.</w:t>
      </w:r>
    </w:p>
    <w:p>
      <w:pPr>
        <w:spacing w:after="160" w:line="276"/>
      </w:pPr>
      <w:r>
        <w:rPr>
          <w:b/>
          <w:bCs/>
        </w:rPr>
        <w:t xml:space="preserve">Schedule.</w:t>
      </w:r>
      <w:r>
        <w:t xml:space="preserve"> Because the manuscript is drafted rather than proposed, the remaining work is editorial rather than generative. A realistic schedule from contract signature: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77"/>
        <w:gridCol w:w="2383"/>
      </w:tblGrid>
      <w:tr>
        <w:trPr>
          <w:tblHeader/>
        </w:trPr>
        <w:tc>
          <w:tcPr>
            <w:tcW w:type="dxa" w:w="6977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2383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Timing</w:t>
            </w:r>
          </w:p>
        </w:tc>
      </w:tr>
      <w:tr>
        <w:trPr>
          <w:tblHeader w:val="false"/>
        </w:trPr>
        <w:tc>
          <w:tcPr>
            <w:tcW w:type="dxa" w:w="69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Full draft delivered for technical review</w:t>
            </w:r>
          </w:p>
        </w:tc>
        <w:tc>
          <w:tcPr>
            <w:tcW w:type="dxa" w:w="23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 signature</w:t>
            </w:r>
          </w:p>
        </w:tc>
      </w:tr>
      <w:tr>
        <w:trPr>
          <w:tblHeader w:val="false"/>
        </w:trPr>
        <w:tc>
          <w:tcPr>
            <w:tcW w:type="dxa" w:w="69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Revisions from technical review</w:t>
            </w:r>
          </w:p>
        </w:tc>
        <w:tc>
          <w:tcPr>
            <w:tcW w:type="dxa" w:w="23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+8 weeks</w:t>
            </w:r>
          </w:p>
        </w:tc>
      </w:tr>
      <w:tr>
        <w:trPr>
          <w:tblHeader w:val="false"/>
        </w:trPr>
        <w:tc>
          <w:tcPr>
            <w:tcW w:type="dxa" w:w="69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Copyedit and author review</w:t>
            </w:r>
          </w:p>
        </w:tc>
        <w:tc>
          <w:tcPr>
            <w:tcW w:type="dxa" w:w="23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+6 weeks</w:t>
            </w:r>
          </w:p>
        </w:tc>
      </w:tr>
      <w:tr>
        <w:trPr>
          <w:tblHeader w:val="false"/>
        </w:trPr>
        <w:tc>
          <w:tcPr>
            <w:tcW w:type="dxa" w:w="69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Final manuscript</w:t>
            </w:r>
          </w:p>
        </w:tc>
        <w:tc>
          <w:tcPr>
            <w:tcW w:type="dxa" w:w="238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+4 weeks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Roughly four to five months to final manuscript, subject to reviewer turnaround. The author is open to expanding chapters or adding material at the editor's direction; the estimate above assumes the current scope.</w:t>
      </w:r>
    </w:p>
    <w:p>
      <w:pPr>
        <w:pStyle w:val="Heading1"/>
        <w:spacing w:after="160" w:before="320"/>
      </w:pPr>
      <w:r>
        <w:t xml:space="preserve">12. Technical Reviewers</w:t>
      </w:r>
    </w:p>
    <w:p>
      <w:pPr>
        <w:pBdr>
          <w:left w:val="single" w:color="BBBBBB" w:sz="12" w:space="10"/>
        </w:pBdr>
        <w:spacing w:after="200" w:before="120"/>
        <w:ind w:left="504"/>
      </w:pPr>
      <w:r>
        <w:rPr>
          <w:i/>
          <w:iCs/>
          <w:color w:val="444444"/>
        </w:rPr>
        <w:t xml:space="preserve">To be completed by the author: two to four proposed reviewers with project-controls, applied-statistics, or R backgrounds, and their affiliations.</w:t>
      </w:r>
    </w:p>
    <w:p>
      <w:pPr>
        <w:pStyle w:val="Heading1"/>
        <w:spacing w:after="160" w:before="320"/>
      </w:pPr>
      <w:r>
        <w:t xml:space="preserve">13. Manuscript Status and Open Items</w:t>
      </w:r>
    </w:p>
    <w:p>
      <w:pPr>
        <w:spacing w:after="160" w:line="276"/>
      </w:pPr>
      <w:r>
        <w:rPr>
          <w:b/>
          <w:bCs/>
        </w:rPr>
        <w:t xml:space="preserve">Status.</w:t>
      </w:r>
      <w:r>
        <w:t xml:space="preserve"> Complete draft, publicly readable at https://paulgovan.github.io/PRA/book/, and built reproducibly from the same repository as the </w:t>
      </w:r>
      <w:r>
        <w:rPr>
          <w:rFonts w:ascii="Consolas" w:cs="Consolas" w:eastAsia="Consolas" w:hAnsi="Consolas"/>
          <w:sz w:val="20"/>
          <w:szCs w:val="20"/>
        </w:rPr>
        <w:t xml:space="preserve">PRA</w:t>
      </w:r>
      <w:r>
        <w:t xml:space="preserve"> package.</w:t>
      </w:r>
    </w:p>
    <w:p>
      <w:pPr>
        <w:spacing w:after="160" w:line="276"/>
      </w:pPr>
      <w:r>
        <w:rPr>
          <w:b/>
          <w:bCs/>
        </w:rPr>
        <w:t xml:space="preserve">Licensing — for discussion.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</w:rPr>
        <w:t xml:space="preserve">PRA</w:t>
      </w:r>
      <w:r>
        <w:t xml:space="preserve"> package is MIT licensed. The current book text is published under CC BY 4.0 and is freely readable online. This is raised here deliberately rather than left to be discovered: the existing free edition and its license terms are a point to settle with the publisher early. The author is open to discussing how the published edition and the online draft should relate.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ovgjhzw7w21k_ku9spuy" Type="http://schemas.openxmlformats.org/officeDocument/2006/relationships/hyperlink" Target="https://orcid.org/0000-0002-1821-8492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2026-09-19T02:13:10.958Z</dcterms:created>
  <dcterms:modified xsi:type="dcterms:W3CDTF">2026-09-19T02:13:10.958Z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