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pStyle w:val="Heading1"/>
        <w:spacing w:before="120" w:after="120" w:line="240" w:lineRule="auto"/>
        <w:rPr>
          <w:rFonts w:ascii="Arial" w:hAnsi="Arial" w:cs="Arial"/>
          <w:sz w:val="22"/>
          <w:szCs w:val="22"/>
        </w:rPr>
      </w:pPr>
      <w:r>
        <w:rPr>
          <w:rFonts w:ascii="Arial" w:hAnsi="Arial" w:cs="Arial"/>
          <w:sz w:val="22"/>
          <w:szCs w:val="22"/>
        </w:rPr>
        <w:t>ReliaPlotR: Interactive Reliability Probability Plots</w:t>
      </w:r>
    </w:p>
    <w:p>
      <w:pPr>
        <w:spacing w:before="0" w:after="0"/>
      </w:pPr>
    </w:p>
    <w:p>
      <w:pPr>
        <w:pStyle w:val="Heading1"/>
        <w:spacing w:before="120" w:after="120" w:line="240" w:lineRule="auto"/>
        <w:rPr>
          <w:rFonts w:ascii="Arial" w:hAnsi="Arial" w:cs="Arial"/>
          <w:sz w:val="22"/>
          <w:szCs w:val="22"/>
        </w:rPr>
      </w:pPr>
      <w:r>
        <w:rPr>
          <w:rFonts w:ascii="Arial" w:hAnsi="Arial" w:cs="Arial"/>
          <w:sz w:val="22"/>
          <w:szCs w:val="22"/>
        </w:rPr>
        <w:t>Paul Govan</w:t>
      </w:r>
    </w:p>
    <w:p>
      <w:pPr>
        <w:spacing w:before="120" w:after="120" w:line="240" w:lineRule="auto"/>
        <w:rPr>
          <w:rFonts w:ascii="Arial" w:hAnsi="Arial" w:cs="Arial"/>
          <w:sz w:val="22"/>
          <w:szCs w:val="22"/>
        </w:rPr>
      </w:pPr>
      <w:r>
        <w:rPr>
          <w:rFonts w:ascii="Arial" w:hAnsi="Arial" w:cs="Arial"/>
          <w:sz w:val="22"/>
          <w:szCs w:val="22"/>
        </w:rPr>
        <w:t>Email: paul.govan2@gmail.com</w:t>
      </w:r>
    </w:p>
    <w:p>
      <w:pPr>
        <w:spacing w:before="120" w:after="120" w:line="240" w:lineRule="auto"/>
        <w:rPr>
          <w:rFonts w:ascii="Arial" w:hAnsi="Arial" w:cs="Arial"/>
          <w:sz w:val="22"/>
          <w:szCs w:val="22"/>
        </w:rPr>
      </w:pPr>
      <w:r>
        <w:rPr>
          <w:rFonts w:ascii="Arial" w:hAnsi="Arial" w:cs="Arial"/>
          <w:sz w:val="22"/>
          <w:szCs w:val="22"/>
        </w:rPr>
        <w:t>ORCID: 0000-0002-1821-8492</w:t>
      </w:r>
    </w:p>
    <w:p>
      <w:pPr>
        <w:spacing w:before="0" w:after="0"/>
      </w:pPr>
    </w:p>
    <w:p w14:paraId="0AB0CA3F" w14:textId="77777777" w:rsidR="00F55829" w:rsidRDefault="00657B03" w:rsidP="001E3522">
      <w:pPr>
        <w:pStyle w:val="Heading1"/>
        <w:tabs>
          <w:tab w:val="left" w:pos="5244"/>
        </w:tabs>
        <w:spacing w:before="0" w:line="240" w:lineRule="auto"/>
        <w:rPr>
          <w:rFonts w:ascii="Arial" w:hAnsi="Arial" w:cs="Arial"/>
          <w:b w:val="0"/>
          <w:sz w:val="22"/>
          <w:szCs w:val="22"/>
        </w:rPr>
      </w:pPr>
      <w:r w:rsidRPr="00883C55">
        <w:rPr>
          <w:rFonts w:ascii="Arial" w:hAnsi="Arial" w:cs="Arial"/>
          <w:bCs/>
          <w:sz w:val="22"/>
          <w:szCs w:val="22"/>
        </w:rPr>
        <w:t>Abstract</w:t>
      </w:r>
      <w:r w:rsidR="00B97E6E" w:rsidRPr="00883C55">
        <w:rPr>
          <w:rFonts w:ascii="Arial" w:hAnsi="Arial" w:cs="Arial"/>
          <w:b w:val="0"/>
          <w:sz w:val="22"/>
          <w:szCs w:val="22"/>
        </w:rPr>
        <w:t xml:space="preserve"> </w:t>
      </w:r>
    </w:p>
    <w:p>
      <w:pPr>
        <w:spacing w:before="120" w:after="120" w:line="240" w:lineRule="auto"/>
        <w:rPr>
          <w:rFonts w:ascii="Arial" w:hAnsi="Arial" w:cs="Arial"/>
          <w:sz w:val="22"/>
          <w:szCs w:val="22"/>
        </w:rPr>
      </w:pPr>
      <w:r>
        <w:rPr>
          <w:rFonts w:ascii="Arial" w:hAnsi="Arial" w:cs="Arial"/>
          <w:sz w:val="22"/>
          <w:szCs w:val="22"/>
        </w:rPr>
        <w:t>ReliaPlotR is an R package that creates interactive reliability probability plots using plotly, an interactive web-based graphing library. The package wraps three upstream fitting packages — WeibullR, WeibullR.ALT, and ReliaGrowR — and provides a unified interface for four reliability analysis domains: life data analysis (Weibull and lognormal probability plots, confidence contours), accelerated life testing (probability plots and life-stress relationship plots), reliability growth analysis (Crow-AMSAA and Duane plots), and repairable systems analysis (nonparametric MCF, NHPP model fits, and exposure plots). All nine exported functions return plotly objects, enabling interactive exploration, hover-to-inspect data points, and embedding in HTML reports and dashboards.</w:t>
      </w:r>
    </w:p>
    <w:p>
      <w:pPr>
        <w:spacing w:before="0" w:after="0"/>
      </w:pPr>
    </w:p>
    <w:p w14:paraId="108BE7F8" w14:textId="77777777" w:rsidR="001E3522" w:rsidRDefault="00657B03" w:rsidP="001E3522">
      <w:pPr>
        <w:pStyle w:val="Heading1"/>
        <w:spacing w:before="0" w:line="240" w:lineRule="auto"/>
        <w:rPr>
          <w:rFonts w:ascii="Arial" w:eastAsia="Calibri" w:hAnsi="Arial" w:cs="Arial"/>
          <w:sz w:val="22"/>
          <w:szCs w:val="22"/>
        </w:rPr>
      </w:pPr>
      <w:r w:rsidRPr="00883C55">
        <w:rPr>
          <w:rFonts w:ascii="Arial" w:eastAsia="Calibri" w:hAnsi="Arial" w:cs="Arial"/>
          <w:sz w:val="22"/>
          <w:szCs w:val="22"/>
        </w:rPr>
        <w:t>Keywords</w:t>
      </w:r>
      <w:r w:rsidR="00276BFF" w:rsidRPr="00883C55">
        <w:rPr>
          <w:rFonts w:ascii="Arial" w:eastAsia="Calibri" w:hAnsi="Arial" w:cs="Arial"/>
          <w:sz w:val="22"/>
          <w:szCs w:val="22"/>
        </w:rPr>
        <w:t xml:space="preserve"> </w:t>
      </w:r>
      <w:bookmarkStart w:id="6" w:name="_Hlk73536342"/>
    </w:p>
    <w:p>
      <w:pPr>
        <w:spacing w:before="120" w:after="120" w:line="240" w:lineRule="auto"/>
        <w:rPr>
          <w:rFonts w:ascii="Arial" w:hAnsi="Arial" w:cs="Arial"/>
          <w:sz w:val="22"/>
          <w:szCs w:val="22"/>
        </w:rPr>
      </w:pPr>
      <w:r>
        <w:rPr>
          <w:rFonts w:ascii="Arial" w:hAnsi="Arial" w:cs="Arial"/>
          <w:sz w:val="22"/>
          <w:szCs w:val="22"/>
        </w:rPr>
        <w:t>reliability engineering; Weibull analysis; interactive visualization; plotly; R package; accelerated life testing</w:t>
      </w:r>
    </w:p>
    <w:p>
      <w:pPr>
        <w:spacing w:before="0" w:after="0"/>
      </w:pPr>
    </w:p>
    <w:p w14:paraId="42B80A20" w14:textId="350036B7" w:rsidR="00DD67E2" w:rsidRPr="00C14245" w:rsidRDefault="007A0305" w:rsidP="001E3522">
      <w:pPr>
        <w:pStyle w:val="Heading1"/>
        <w:spacing w:before="0" w:line="240" w:lineRule="auto"/>
        <w:rPr>
          <w:rFonts w:ascii="Arial" w:hAnsi="Arial" w:cs="Arial"/>
          <w:sz w:val="22"/>
          <w:szCs w:val="22"/>
        </w:rPr>
      </w:pPr>
      <w:r w:rsidRPr="00C14245">
        <w:rPr>
          <w:rFonts w:ascii="Arial" w:eastAsia="Calibri" w:hAnsi="Arial" w:cs="Arial"/>
          <w:sz w:val="22"/>
          <w:szCs w:val="22"/>
        </w:rPr>
        <w:t>M</w:t>
      </w:r>
      <w:r w:rsidR="00B97E6E" w:rsidRPr="00C14245">
        <w:rPr>
          <w:rFonts w:ascii="Arial" w:eastAsia="Calibri" w:hAnsi="Arial" w:cs="Arial"/>
          <w:sz w:val="22"/>
          <w:szCs w:val="22"/>
        </w:rPr>
        <w:t xml:space="preserve">etadata </w:t>
      </w:r>
    </w:p>
    <w:p>
      <w:pPr>
        <w:spacing w:before="120" w:after="120" w:line="240" w:lineRule="auto"/>
        <w:rPr>
          <w:rFonts w:ascii="Arial" w:hAnsi="Arial" w:cs="Arial"/>
          <w:sz w:val="22"/>
          <w:szCs w:val="22"/>
        </w:rPr>
      </w:pPr>
      <w:r>
        <w:rPr>
          <w:rFonts w:ascii="Arial" w:hAnsi="Arial" w:cs="Arial"/>
          <w:sz w:val="22"/>
          <w:szCs w:val="22"/>
        </w:rPr>
        <w:t>This ancillary data table is required for the submission.</w:t>
      </w:r>
    </w:p>
    <w:p>
      <w:pPr>
        <w:spacing w:before="0" w:after="0"/>
      </w:pP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567"/>
        <w:gridCol w:w="3554"/>
        <w:gridCol w:w="5357"/>
      </w:tblGrid>
      <w:tr w:rsidR="00DD67E2" w:rsidRPr="00C14245" w14:paraId="74ED8066" w14:textId="77777777" w:rsidTr="008F38E0">
        <w:trPr>
          <w:trHeight w:val="300"/>
        </w:trPr>
        <w:tc>
          <w:tcPr>
            <w:tcW w:w="567" w:type="dxa"/>
          </w:tcPr>
          <w:p w14:paraId="2B1FB160" w14:textId="77777777" w:rsidR="00DD67E2" w:rsidRPr="00C14245" w:rsidRDefault="00DD67E2" w:rsidP="001E3522">
            <w:pPr>
              <w:rPr>
                <w:rFonts w:ascii="Arial" w:hAnsi="Arial" w:cs="Arial"/>
                <w:szCs w:val="22"/>
              </w:rPr>
            </w:pPr>
            <w:r w:rsidRPr="00C14245">
              <w:rPr>
                <w:rFonts w:ascii="Arial" w:hAnsi="Arial" w:cs="Arial"/>
                <w:b/>
                <w:szCs w:val="22"/>
              </w:rPr>
              <w:t>Nr</w:t>
            </w:r>
          </w:p>
        </w:tc>
        <w:tc>
          <w:tcPr>
            <w:tcW w:w="3554" w:type="dxa"/>
          </w:tcPr>
          <w:p w14:paraId="79E48C8F" w14:textId="77777777" w:rsidR="00DD67E2" w:rsidRPr="00C14245" w:rsidRDefault="00DD67E2" w:rsidP="001E3522">
            <w:pPr>
              <w:rPr>
                <w:rFonts w:ascii="Arial" w:hAnsi="Arial" w:cs="Arial"/>
                <w:szCs w:val="22"/>
              </w:rPr>
            </w:pPr>
            <w:r w:rsidRPr="00C14245">
              <w:rPr>
                <w:rFonts w:ascii="Arial" w:hAnsi="Arial" w:cs="Arial"/>
                <w:b/>
                <w:szCs w:val="22"/>
              </w:rPr>
              <w:t xml:space="preserve">Code metadata description </w:t>
            </w:r>
          </w:p>
        </w:tc>
        <w:tc>
          <w:tcPr>
            <w:tcW w:w="5357" w:type="dxa"/>
          </w:tcPr>
          <w:p w14:paraId="4FF13E3D" w14:textId="1A8E6373" w:rsidR="00DD67E2" w:rsidRPr="00C14245" w:rsidRDefault="00A31866" w:rsidP="001E3522">
            <w:pPr>
              <w:rPr>
                <w:rFonts w:ascii="Arial" w:hAnsi="Arial" w:cs="Arial"/>
                <w:szCs w:val="22"/>
              </w:rPr>
            </w:pPr>
            <w:r w:rsidRPr="00C14245">
              <w:rPr>
                <w:rFonts w:ascii="Arial" w:hAnsi="Arial" w:cs="Arial"/>
                <w:b/>
                <w:i/>
                <w:szCs w:val="22"/>
              </w:rPr>
              <w:t>Metadata</w:t>
            </w:r>
          </w:p>
        </w:tc>
      </w:tr>
      <w:tr w:rsidR="00DD67E2" w:rsidRPr="00C14245" w14:paraId="44BD84C4" w14:textId="77777777" w:rsidTr="008F38E0">
        <w:trPr>
          <w:trHeight w:val="300"/>
        </w:trPr>
        <w:tc>
          <w:tcPr>
            <w:tcW w:w="567" w:type="dxa"/>
          </w:tcPr>
          <w:p w14:paraId="5663CBE1" w14:textId="77777777" w:rsidR="00DD67E2" w:rsidRPr="00C14245" w:rsidRDefault="00DD67E2" w:rsidP="001E3522">
            <w:pPr>
              <w:rPr>
                <w:rFonts w:ascii="Arial" w:hAnsi="Arial" w:cs="Arial"/>
                <w:szCs w:val="22"/>
              </w:rPr>
            </w:pPr>
            <w:r w:rsidRPr="00C14245">
              <w:rPr>
                <w:rFonts w:ascii="Arial" w:hAnsi="Arial" w:cs="Arial"/>
                <w:szCs w:val="22"/>
              </w:rPr>
              <w:t>C1</w:t>
            </w:r>
          </w:p>
        </w:tc>
        <w:tc>
          <w:tcPr>
            <w:tcW w:w="3554" w:type="dxa"/>
          </w:tcPr>
          <w:p w14:paraId="4D915645" w14:textId="77777777" w:rsidR="00DD67E2" w:rsidRPr="00C14245" w:rsidRDefault="00DD67E2" w:rsidP="001E3522">
            <w:pPr>
              <w:rPr>
                <w:rFonts w:ascii="Arial" w:hAnsi="Arial" w:cs="Arial"/>
                <w:szCs w:val="22"/>
              </w:rPr>
            </w:pPr>
            <w:r w:rsidRPr="00C14245">
              <w:rPr>
                <w:rFonts w:ascii="Arial" w:hAnsi="Arial" w:cs="Arial"/>
                <w:szCs w:val="22"/>
              </w:rPr>
              <w:t>Current code version</w:t>
            </w:r>
          </w:p>
        </w:tc>
        <w:tc>
          <w:tcPr>
            <w:tcW w:w="5357" w:type="dxa"/>
          </w:tcPr>
          <w:p>
            <w:pPr>
              <w:spacing w:before="0" w:after="0"/>
              <w:rPr>
                <w:rFonts w:ascii="Arial" w:hAnsi="Arial" w:cs="Arial"/>
                <w:sz w:val="22"/>
                <w:szCs w:val="22"/>
              </w:rPr>
            </w:pPr>
            <w:r>
              <w:rPr>
                <w:rFonts w:ascii="Arial" w:hAnsi="Arial" w:cs="Arial"/>
                <w:sz w:val="22"/>
                <w:szCs w:val="22"/>
              </w:rPr>
              <w:t>v0.6</w:t>
            </w:r>
          </w:p>
        </w:tc>
      </w:tr>
      <w:tr w:rsidR="00DD67E2" w:rsidRPr="00883C55" w14:paraId="5560CBB4" w14:textId="77777777" w:rsidTr="008F38E0">
        <w:trPr>
          <w:trHeight w:val="300"/>
        </w:trPr>
        <w:tc>
          <w:tcPr>
            <w:tcW w:w="567" w:type="dxa"/>
          </w:tcPr>
          <w:p w14:paraId="359B3DE7" w14:textId="77777777" w:rsidR="00DD67E2" w:rsidRPr="00C14245" w:rsidRDefault="00DD67E2" w:rsidP="001E3522">
            <w:pPr>
              <w:rPr>
                <w:rFonts w:ascii="Arial" w:hAnsi="Arial" w:cs="Arial"/>
                <w:szCs w:val="22"/>
              </w:rPr>
            </w:pPr>
            <w:r w:rsidRPr="00C14245">
              <w:rPr>
                <w:rFonts w:ascii="Arial" w:hAnsi="Arial" w:cs="Arial"/>
                <w:szCs w:val="22"/>
              </w:rPr>
              <w:t>C2</w:t>
            </w:r>
          </w:p>
        </w:tc>
        <w:tc>
          <w:tcPr>
            <w:tcW w:w="3554" w:type="dxa"/>
          </w:tcPr>
          <w:p w14:paraId="1FA29392" w14:textId="6379BA1C" w:rsidR="00DD67E2" w:rsidRPr="00C14245" w:rsidRDefault="00DD67E2" w:rsidP="001E3522">
            <w:pPr>
              <w:rPr>
                <w:rFonts w:ascii="Arial" w:hAnsi="Arial" w:cs="Arial"/>
                <w:szCs w:val="22"/>
              </w:rPr>
            </w:pPr>
            <w:r w:rsidRPr="00C14245">
              <w:rPr>
                <w:rFonts w:ascii="Arial" w:hAnsi="Arial" w:cs="Arial"/>
                <w:szCs w:val="22"/>
              </w:rPr>
              <w:t xml:space="preserve">Permanent link to code/repository used </w:t>
            </w:r>
            <w:r w:rsidR="00276BFF" w:rsidRPr="00C14245">
              <w:rPr>
                <w:rFonts w:ascii="Arial" w:hAnsi="Arial" w:cs="Arial"/>
                <w:szCs w:val="22"/>
              </w:rPr>
              <w:t xml:space="preserve">for </w:t>
            </w:r>
            <w:r w:rsidRPr="00C14245">
              <w:rPr>
                <w:rFonts w:ascii="Arial" w:hAnsi="Arial" w:cs="Arial"/>
                <w:szCs w:val="22"/>
              </w:rPr>
              <w:t>this code version</w:t>
            </w:r>
          </w:p>
        </w:tc>
        <w:tc>
          <w:tcPr>
            <w:tcW w:w="5357" w:type="dxa"/>
          </w:tcPr>
          <w:p>
            <w:pPr>
              <w:spacing w:before="0" w:after="0"/>
              <w:rPr>
                <w:rFonts w:ascii="Arial" w:hAnsi="Arial" w:cs="Arial"/>
                <w:sz w:val="22"/>
                <w:szCs w:val="22"/>
              </w:rPr>
            </w:pPr>
            <w:r>
              <w:rPr>
                <w:rFonts w:ascii="Arial" w:hAnsi="Arial" w:cs="Arial"/>
                <w:sz w:val="22"/>
                <w:szCs w:val="22"/>
              </w:rPr>
              <w:t>https://github.com/paulgovan/ReliaPlotR</w:t>
            </w:r>
          </w:p>
        </w:tc>
      </w:tr>
      <w:tr w:rsidR="00DD67E2" w:rsidRPr="00883C55" w14:paraId="33815D41" w14:textId="77777777" w:rsidTr="008F38E0">
        <w:trPr>
          <w:trHeight w:val="300"/>
        </w:trPr>
        <w:tc>
          <w:tcPr>
            <w:tcW w:w="567" w:type="dxa"/>
          </w:tcPr>
          <w:p w14:paraId="091665CD" w14:textId="62EF4D85"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3</w:t>
            </w:r>
          </w:p>
        </w:tc>
        <w:tc>
          <w:tcPr>
            <w:tcW w:w="3554" w:type="dxa"/>
          </w:tcPr>
          <w:p w14:paraId="3B4C1036" w14:textId="38CBB52A" w:rsidR="00DD67E2" w:rsidRPr="00883C55" w:rsidRDefault="00DD67E2" w:rsidP="001E3522">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pPr>
              <w:spacing w:before="0" w:after="0"/>
              <w:rPr>
                <w:rFonts w:ascii="Arial" w:hAnsi="Arial" w:cs="Arial"/>
                <w:sz w:val="22"/>
                <w:szCs w:val="22"/>
              </w:rPr>
            </w:pPr>
            <w:r>
              <w:rPr>
                <w:rFonts w:ascii="Arial" w:hAnsi="Arial" w:cs="Arial"/>
                <w:sz w:val="22"/>
                <w:szCs w:val="22"/>
              </w:rPr>
              <w:t>Apache License 2.0</w:t>
            </w:r>
          </w:p>
        </w:tc>
      </w:tr>
      <w:tr w:rsidR="00DD67E2" w:rsidRPr="00883C55" w14:paraId="438B01EC" w14:textId="77777777" w:rsidTr="008F38E0">
        <w:trPr>
          <w:trHeight w:val="300"/>
        </w:trPr>
        <w:tc>
          <w:tcPr>
            <w:tcW w:w="567" w:type="dxa"/>
          </w:tcPr>
          <w:p w14:paraId="04E361F4" w14:textId="239E0838"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4</w:t>
            </w:r>
          </w:p>
        </w:tc>
        <w:tc>
          <w:tcPr>
            <w:tcW w:w="3554" w:type="dxa"/>
          </w:tcPr>
          <w:p w14:paraId="2231913A" w14:textId="77777777" w:rsidR="00DD67E2" w:rsidRPr="00883C55" w:rsidRDefault="00DD67E2" w:rsidP="001E3522">
            <w:pPr>
              <w:rPr>
                <w:rFonts w:ascii="Arial" w:hAnsi="Arial" w:cs="Arial"/>
                <w:szCs w:val="22"/>
              </w:rPr>
            </w:pPr>
            <w:r w:rsidRPr="00883C55">
              <w:rPr>
                <w:rFonts w:ascii="Arial" w:hAnsi="Arial" w:cs="Arial"/>
                <w:szCs w:val="22"/>
              </w:rPr>
              <w:t>Code versioning system used</w:t>
            </w:r>
          </w:p>
        </w:tc>
        <w:tc>
          <w:tcPr>
            <w:tcW w:w="5357" w:type="dxa"/>
          </w:tcPr>
          <w:p>
            <w:pPr>
              <w:spacing w:before="0" w:after="0"/>
              <w:rPr>
                <w:rFonts w:ascii="Arial" w:hAnsi="Arial" w:cs="Arial"/>
                <w:sz w:val="22"/>
                <w:szCs w:val="22"/>
              </w:rPr>
            </w:pPr>
            <w:r>
              <w:rPr>
                <w:rFonts w:ascii="Arial" w:hAnsi="Arial" w:cs="Arial"/>
                <w:sz w:val="22"/>
                <w:szCs w:val="22"/>
              </w:rPr>
              <w:t>git</w:t>
            </w:r>
          </w:p>
        </w:tc>
      </w:tr>
      <w:tr w:rsidR="00DD67E2" w:rsidRPr="00883C55" w14:paraId="16946563" w14:textId="77777777" w:rsidTr="008F38E0">
        <w:trPr>
          <w:trHeight w:val="300"/>
        </w:trPr>
        <w:tc>
          <w:tcPr>
            <w:tcW w:w="567" w:type="dxa"/>
          </w:tcPr>
          <w:p w14:paraId="46D58CC8" w14:textId="2FC2DB60"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5</w:t>
            </w:r>
          </w:p>
        </w:tc>
        <w:tc>
          <w:tcPr>
            <w:tcW w:w="3554" w:type="dxa"/>
          </w:tcPr>
          <w:p w14:paraId="0986AA87" w14:textId="220B6BEB" w:rsidR="00DD67E2" w:rsidRPr="00883C55" w:rsidRDefault="00DD67E2" w:rsidP="001E3522">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pPr>
              <w:spacing w:before="0" w:after="0"/>
              <w:rPr>
                <w:rFonts w:ascii="Arial" w:hAnsi="Arial" w:cs="Arial"/>
                <w:sz w:val="22"/>
                <w:szCs w:val="22"/>
              </w:rPr>
            </w:pPr>
            <w:r>
              <w:rPr>
                <w:rFonts w:ascii="Arial" w:hAnsi="Arial" w:cs="Arial"/>
                <w:sz w:val="22"/>
                <w:szCs w:val="22"/>
              </w:rPr>
              <w:t>R, plotly, WeibullR, WeibullR.ALT, ReliaGrowR</w:t>
            </w:r>
          </w:p>
        </w:tc>
      </w:tr>
      <w:tr w:rsidR="00DD67E2" w:rsidRPr="00883C55" w14:paraId="68707A76" w14:textId="77777777" w:rsidTr="008F38E0">
        <w:trPr>
          <w:trHeight w:val="300"/>
        </w:trPr>
        <w:tc>
          <w:tcPr>
            <w:tcW w:w="567" w:type="dxa"/>
          </w:tcPr>
          <w:p w14:paraId="56024155" w14:textId="34EB12F9" w:rsidR="00DD67E2" w:rsidRPr="00883C55" w:rsidRDefault="002B7866" w:rsidP="001E3522">
            <w:pPr>
              <w:rPr>
                <w:rFonts w:ascii="Arial" w:hAnsi="Arial" w:cs="Arial"/>
                <w:szCs w:val="22"/>
              </w:rPr>
            </w:pPr>
            <w:r w:rsidRPr="00883C55">
              <w:rPr>
                <w:rFonts w:ascii="Arial" w:hAnsi="Arial" w:cs="Arial"/>
                <w:szCs w:val="22"/>
              </w:rPr>
              <w:lastRenderedPageBreak/>
              <w:t>C</w:t>
            </w:r>
            <w:r w:rsidR="00976A1C">
              <w:rPr>
                <w:rFonts w:ascii="Arial" w:hAnsi="Arial" w:cs="Arial"/>
                <w:szCs w:val="22"/>
              </w:rPr>
              <w:t>6</w:t>
            </w:r>
          </w:p>
        </w:tc>
        <w:tc>
          <w:tcPr>
            <w:tcW w:w="3554" w:type="dxa"/>
          </w:tcPr>
          <w:p w14:paraId="2F9146D3" w14:textId="2B37EA71" w:rsidR="00DD67E2" w:rsidRPr="00883C55" w:rsidRDefault="00DD67E2" w:rsidP="001E3522">
            <w:pPr>
              <w:rPr>
                <w:rFonts w:ascii="Arial" w:hAnsi="Arial" w:cs="Arial"/>
                <w:szCs w:val="22"/>
              </w:rPr>
            </w:pPr>
            <w:r w:rsidRPr="00883C55">
              <w:rPr>
                <w:rFonts w:ascii="Arial" w:hAnsi="Arial" w:cs="Arial"/>
                <w:szCs w:val="22"/>
              </w:rPr>
              <w:t xml:space="preserve">Compilation requirements, operating environments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pPr>
              <w:spacing w:before="0" w:after="0"/>
              <w:rPr>
                <w:rFonts w:ascii="Arial" w:hAnsi="Arial" w:cs="Arial"/>
                <w:sz w:val="22"/>
                <w:szCs w:val="22"/>
              </w:rPr>
            </w:pPr>
            <w:r>
              <w:rPr>
                <w:rFonts w:ascii="Arial" w:hAnsi="Arial" w:cs="Arial"/>
                <w:sz w:val="22"/>
                <w:szCs w:val="22"/>
              </w:rPr>
              <w:t>R (&gt;= 4.0.0); all dependencies available on CRAN: plotly, WeibullR, WeibullR.ALT, ReliaGrowR</w:t>
            </w:r>
          </w:p>
        </w:tc>
      </w:tr>
      <w:tr w:rsidR="00DD67E2" w:rsidRPr="00883C55" w14:paraId="286C72E5" w14:textId="77777777" w:rsidTr="008F38E0">
        <w:trPr>
          <w:trHeight w:val="300"/>
        </w:trPr>
        <w:tc>
          <w:tcPr>
            <w:tcW w:w="567" w:type="dxa"/>
          </w:tcPr>
          <w:p w14:paraId="3E16E1E6" w14:textId="711E8AAE"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7</w:t>
            </w:r>
          </w:p>
        </w:tc>
        <w:tc>
          <w:tcPr>
            <w:tcW w:w="3554" w:type="dxa"/>
          </w:tcPr>
          <w:p w14:paraId="0EE51704" w14:textId="1B29C340" w:rsidR="00DD67E2" w:rsidRPr="00883C55" w:rsidRDefault="00DD67E2" w:rsidP="001E3522">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pPr>
              <w:spacing w:before="0" w:after="0"/>
              <w:rPr>
                <w:rFonts w:ascii="Arial" w:hAnsi="Arial" w:cs="Arial"/>
                <w:sz w:val="22"/>
                <w:szCs w:val="22"/>
              </w:rPr>
            </w:pPr>
            <w:r>
              <w:rPr>
                <w:rFonts w:ascii="Arial" w:hAnsi="Arial" w:cs="Arial"/>
                <w:sz w:val="22"/>
                <w:szCs w:val="22"/>
              </w:rPr>
              <w:t>https://paulgovan.github.io/ReliaPlotR/</w:t>
            </w:r>
          </w:p>
        </w:tc>
      </w:tr>
      <w:tr w:rsidR="00DD67E2" w:rsidRPr="00883C55" w14:paraId="59B634D9" w14:textId="77777777" w:rsidTr="008F38E0">
        <w:trPr>
          <w:trHeight w:val="300"/>
        </w:trPr>
        <w:tc>
          <w:tcPr>
            <w:tcW w:w="567" w:type="dxa"/>
          </w:tcPr>
          <w:p w14:paraId="63807196" w14:textId="09A695AA"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8</w:t>
            </w:r>
          </w:p>
        </w:tc>
        <w:tc>
          <w:tcPr>
            <w:tcW w:w="3554" w:type="dxa"/>
          </w:tcPr>
          <w:p w14:paraId="519282C0" w14:textId="77777777" w:rsidR="00DD67E2" w:rsidRPr="00883C55" w:rsidRDefault="00DD67E2" w:rsidP="001E3522">
            <w:pPr>
              <w:rPr>
                <w:rFonts w:ascii="Arial" w:hAnsi="Arial" w:cs="Arial"/>
                <w:szCs w:val="22"/>
              </w:rPr>
            </w:pPr>
            <w:r w:rsidRPr="00883C55">
              <w:rPr>
                <w:rFonts w:ascii="Arial" w:hAnsi="Arial" w:cs="Arial"/>
                <w:szCs w:val="22"/>
              </w:rPr>
              <w:t>Support email for questions</w:t>
            </w:r>
          </w:p>
        </w:tc>
        <w:tc>
          <w:tcPr>
            <w:tcW w:w="5357" w:type="dxa"/>
          </w:tcPr>
          <w:p>
            <w:pPr>
              <w:spacing w:before="0" w:after="0"/>
              <w:rPr>
                <w:rFonts w:ascii="Arial" w:hAnsi="Arial" w:cs="Arial"/>
                <w:sz w:val="22"/>
                <w:szCs w:val="22"/>
              </w:rPr>
            </w:pPr>
            <w:r>
              <w:rPr>
                <w:rFonts w:ascii="Arial" w:hAnsi="Arial" w:cs="Arial"/>
                <w:sz w:val="22"/>
                <w:szCs w:val="22"/>
              </w:rPr>
              <w:t>paul.govan2@gmail.com</w:t>
            </w:r>
          </w:p>
        </w:tc>
      </w:tr>
    </w:tbl>
    <w:p>
      <w:pPr>
        <w:spacing w:before="0" w:after="0"/>
      </w:pPr>
    </w:p>
    <w:p>
      <w:pPr>
        <w:pStyle w:val="Heading1"/>
        <w:spacing w:before="120" w:after="120" w:line="240" w:lineRule="auto"/>
        <w:rPr>
          <w:rFonts w:ascii="Arial" w:hAnsi="Arial" w:cs="Arial"/>
          <w:sz w:val="22"/>
          <w:szCs w:val="22"/>
        </w:rPr>
      </w:pPr>
      <w:r>
        <w:rPr>
          <w:rFonts w:ascii="Arial" w:hAnsi="Arial" w:cs="Arial"/>
          <w:sz w:val="22"/>
          <w:szCs w:val="22"/>
        </w:rPr>
        <w:t>Motivation and significance</w:t>
      </w:r>
    </w:p>
    <w:p>
      <w:pPr>
        <w:spacing w:before="120" w:after="120" w:line="240" w:lineRule="auto"/>
        <w:rPr>
          <w:rFonts w:ascii="Arial" w:hAnsi="Arial" w:cs="Arial"/>
          <w:sz w:val="22"/>
          <w:szCs w:val="22"/>
        </w:rPr>
      </w:pPr>
      <w:r>
        <w:rPr>
          <w:rFonts w:ascii="Arial" w:hAnsi="Arial" w:cs="Arial"/>
          <w:sz w:val="22"/>
          <w:szCs w:val="22"/>
        </w:rPr>
        <w:t>Reliability engineering is a discipline concerned with predicting and improving the probability that systems and components will function as intended over time. Core analytical tasks include fitting life distributions to failure data, modelling reliability growth over development test time, characterizing the effects of accelerated stress on component life, and analysing recurrent-event data from repairable systems. Each of these tasks requires specialized probability plots: Weibull and lognormal probability paper for life data, log-log Duane plots for reliability growth, life-stress relationship plots for accelerated life testing, and mean cumulative function (MCF) plots for repairable systems.</w:t>
      </w:r>
    </w:p>
    <w:p>
      <w:pPr>
        <w:spacing w:before="120" w:after="120" w:line="240" w:lineRule="auto"/>
        <w:rPr>
          <w:rFonts w:ascii="Arial" w:hAnsi="Arial" w:cs="Arial"/>
          <w:sz w:val="22"/>
          <w:szCs w:val="22"/>
        </w:rPr>
      </w:pPr>
      <w:r>
        <w:rPr>
          <w:rFonts w:ascii="Arial" w:hAnsi="Arial" w:cs="Arial"/>
          <w:sz w:val="22"/>
          <w:szCs w:val="22"/>
        </w:rPr>
        <w:t>Several mature R packages provide the statistical modelling for these tasks. WeibullR [1] fits Weibull and lognormal distributions to failure data and computes confidence bounds via rank regression and maximum likelihood estimation (MLE). ReliaGrowR [2] fits Crow-AMSAA Non-Homogeneous Poisson Process (NHPP) and Duane reliability growth models. WeibullR.ALT [3] fits accelerated life testing (ALT) models using Arrhenius and Power Law life-stress relationships. However, all three packages produce static graphics using base R; none supports interactive exploration.</w:t>
      </w:r>
    </w:p>
    <w:p>
      <w:pPr>
        <w:spacing w:before="120" w:after="120" w:line="240" w:lineRule="auto"/>
        <w:rPr>
          <w:rFonts w:ascii="Arial" w:hAnsi="Arial" w:cs="Arial"/>
          <w:sz w:val="22"/>
          <w:szCs w:val="22"/>
        </w:rPr>
      </w:pPr>
      <w:r>
        <w:rPr>
          <w:rFonts w:ascii="Arial" w:hAnsi="Arial" w:cs="Arial"/>
          <w:sz w:val="22"/>
          <w:szCs w:val="22"/>
        </w:rPr>
        <w:t>Interactive visualization has become an important part of modern data analysis workflows. Sievert [4] introduced the plotly R package, which provides a high-level interface to the plotly.js library and enables fully interactive web-based plots. Interactive plots allow users to hover over data points to inspect fitted parameter values and confidence bounds, toggle individual models on and off via the legend, zoom into regions of interest, and embed outputs directly in R Markdown and Quarto HTML reports or Shiny dashboards without additional tooling.</w:t>
      </w:r>
    </w:p>
    <w:p>
      <w:pPr>
        <w:spacing w:before="120" w:after="120" w:line="240" w:lineRule="auto"/>
        <w:rPr>
          <w:rFonts w:ascii="Arial" w:hAnsi="Arial" w:cs="Arial"/>
          <w:sz w:val="22"/>
          <w:szCs w:val="22"/>
        </w:rPr>
      </w:pPr>
      <w:r>
        <w:rPr>
          <w:rFonts w:ascii="Arial" w:hAnsi="Arial" w:cs="Arial"/>
          <w:sz w:val="22"/>
          <w:szCs w:val="22"/>
        </w:rPr>
        <w:t>Despite the availability of both statistical fitting packages and interactive visualization infrastructure, no single R package combines these four reliability analysis domains into a unified, interactive plotting interface. ReliaPlotR fills this gap by wrapping WeibullR, ReliaGrowR, and WeibullR.ALT and providing a consistent plotly-based interface across all four domains. The package enables reliability engineers and researchers to produce publication-quality interactive plots with minimal code, and to distribute findings as self-contained HTML documents.</w:t>
      </w:r>
    </w:p>
    <w:p>
      <w:pPr>
        <w:spacing w:before="0" w:after="0"/>
      </w:pPr>
    </w:p>
    <w:p>
      <w:pPr>
        <w:pStyle w:val="Heading1"/>
        <w:spacing w:before="120" w:after="120" w:line="240" w:lineRule="auto"/>
        <w:rPr>
          <w:rFonts w:ascii="Arial" w:hAnsi="Arial" w:cs="Arial"/>
          <w:sz w:val="22"/>
          <w:szCs w:val="22"/>
        </w:rPr>
      </w:pPr>
      <w:r>
        <w:rPr>
          <w:rFonts w:ascii="Arial" w:hAnsi="Arial" w:cs="Arial"/>
          <w:sz w:val="22"/>
          <w:szCs w:val="22"/>
        </w:rPr>
        <w:t>Software description</w:t>
      </w:r>
    </w:p>
    <w:p>
      <w:pPr>
        <w:spacing w:before="120" w:after="120" w:line="240" w:lineRule="auto"/>
        <w:rPr>
          <w:rFonts w:ascii="Arial" w:hAnsi="Arial" w:cs="Arial"/>
          <w:sz w:val="22"/>
          <w:szCs w:val="22"/>
        </w:rPr>
      </w:pPr>
      <w:r>
        <w:rPr>
          <w:rFonts w:ascii="Arial" w:hAnsi="Arial" w:cs="Arial"/>
          <w:b/>
          <w:sz w:val="22"/>
          <w:szCs w:val="22"/>
        </w:rPr>
        <w:t>Software architecture:</w:t>
      </w:r>
    </w:p>
    <w:p>
      <w:pPr>
        <w:spacing w:before="120" w:after="120" w:line="240" w:lineRule="auto"/>
        <w:rPr>
          <w:rFonts w:ascii="Arial" w:hAnsi="Arial" w:cs="Arial"/>
          <w:sz w:val="22"/>
          <w:szCs w:val="22"/>
        </w:rPr>
      </w:pPr>
      <w:r>
        <w:rPr>
          <w:rFonts w:ascii="Arial" w:hAnsi="Arial" w:cs="Arial"/>
          <w:sz w:val="22"/>
          <w:szCs w:val="22"/>
        </w:rPr>
        <w:t>ReliaPlotR follows a thin-wrapper architecture. Each of the nine exported functions accepts a fitted model object from one of the three upstream packages, extracts the relevant model parameters and data, and constructs a plotly figure. No statistical fitting is performed inside ReliaPlotR itself; all computation is delegated to the upstream packages. This separation of concerns keeps the package focused and ensures that improvements to the fitting packages are immediately available to ReliaPlotR users.</w:t>
      </w:r>
    </w:p>
    <w:p>
      <w:pPr>
        <w:spacing w:before="120" w:after="120" w:line="240" w:lineRule="auto"/>
        <w:rPr>
          <w:rFonts w:ascii="Arial" w:hAnsi="Arial" w:cs="Arial"/>
          <w:sz w:val="22"/>
          <w:szCs w:val="22"/>
        </w:rPr>
      </w:pPr>
      <w:r>
        <w:rPr>
          <w:rFonts w:ascii="Arial" w:hAnsi="Arial" w:cs="Arial"/>
          <w:sz w:val="22"/>
          <w:szCs w:val="22"/>
        </w:rPr>
        <w:t>The package is organized as nine source files under R/, one per exported function. All functions share a common interface pattern: a required model object argument, optional Boolean display flags (showConf, showGrid), axis label strings, color parameters, and a signif argument controlling the number of significant digits shown in hover text. All functions return a plotly object, which can be displayed interactively, saved as an HTML file, or embedded in R Markdown / Quarto documents.</w:t>
      </w:r>
    </w:p>
    <w:p>
      <w:pPr>
        <w:spacing w:before="120" w:after="120" w:line="240" w:lineRule="auto"/>
        <w:rPr>
          <w:rFonts w:ascii="Arial" w:hAnsi="Arial" w:cs="Arial"/>
          <w:sz w:val="22"/>
          <w:szCs w:val="22"/>
        </w:rPr>
      </w:pPr>
      <w:r>
        <w:rPr>
          <w:rFonts w:ascii="Arial" w:hAnsi="Arial" w:cs="Arial"/>
          <w:sz w:val="22"/>
          <w:szCs w:val="22"/>
        </w:rPr>
        <w:t>An overlay pattern is supported across all main plot types: when a list of model objects is passed instead of a single object, all models are rendered on the same plot in distinct colors, with each model’s traces grouped under a single legend entry. This allows direct visual comparison of multiple datasets or model specifications.</w:t>
      </w:r>
    </w:p>
    <w:p>
      <w:pPr>
        <w:spacing w:before="0" w:after="0"/>
      </w:pPr>
    </w:p>
    <w:p>
      <w:pPr>
        <w:spacing w:before="120" w:after="120" w:line="240" w:lineRule="auto"/>
        <w:rPr>
          <w:rFonts w:ascii="Arial" w:hAnsi="Arial" w:cs="Arial"/>
          <w:sz w:val="22"/>
          <w:szCs w:val="22"/>
        </w:rPr>
      </w:pPr>
      <w:r>
        <w:rPr>
          <w:rFonts w:ascii="Arial" w:hAnsi="Arial" w:cs="Arial"/>
          <w:b/>
          <w:sz w:val="22"/>
          <w:szCs w:val="22"/>
        </w:rPr>
        <w:t>Software functionalities:</w:t>
      </w:r>
    </w:p>
    <w:p>
      <w:pPr>
        <w:spacing w:before="120" w:after="120" w:line="240" w:lineRule="auto"/>
        <w:rPr>
          <w:rFonts w:ascii="Arial" w:hAnsi="Arial" w:cs="Arial"/>
          <w:sz w:val="22"/>
          <w:szCs w:val="22"/>
        </w:rPr>
      </w:pPr>
      <w:r>
        <w:rPr>
          <w:rFonts w:ascii="Arial" w:hAnsi="Arial" w:cs="Arial"/>
          <w:sz w:val="22"/>
          <w:szCs w:val="22"/>
        </w:rPr>
        <w:t>The nine exported functions are organized across four reliability analysis domains:</w:t>
      </w:r>
    </w:p>
    <w:p>
      <w:pPr>
        <w:spacing w:before="120" w:after="120" w:line="240" w:lineRule="auto"/>
        <w:rPr>
          <w:rFonts w:ascii="Arial" w:hAnsi="Arial" w:cs="Arial"/>
          <w:sz w:val="22"/>
          <w:szCs w:val="22"/>
        </w:rPr>
      </w:pPr>
      <w:r>
        <w:rPr>
          <w:rFonts w:ascii="Arial" w:hAnsi="Arial" w:cs="Arial"/>
          <w:sz w:val="22"/>
          <w:szCs w:val="22"/>
        </w:rPr>
        <w:t>Life Data Analysis: plotly_wblr() creates a Weibull or lognormal probability plot from a wblr object (WeibullR). The y-axis uses a double-log transformation for Weibull distributions and a normal quantile transformation for lognormal distributions, so that a well-fitting model appears as a straight line. Confidence bounds, suspension subplots, interval-censored data, and three-parameter Weibull fits are all supported. plotly_contour() creates a parameter confidence contour plot from an MLE-fitted wblr object, showing the joint confidence region for the two distribution parameters.</w:t>
      </w:r>
    </w:p>
    <w:p>
      <w:pPr>
        <w:spacing w:before="120" w:after="120" w:line="240" w:lineRule="auto"/>
        <w:rPr>
          <w:rFonts w:ascii="Arial" w:hAnsi="Arial" w:cs="Arial"/>
          <w:sz w:val="22"/>
          <w:szCs w:val="22"/>
        </w:rPr>
      </w:pPr>
      <w:r>
        <w:rPr>
          <w:rFonts w:ascii="Arial" w:hAnsi="Arial" w:cs="Arial"/>
          <w:sz w:val="22"/>
          <w:szCs w:val="22"/>
        </w:rPr>
        <w:t>Accelerated Life Testing: plotly_alt() creates an ALT probability plot overlaying one fit line per stress level on shared probability paper. plotly_rel() creates a life-stress relationship plot showing the fitted Arrhenius or Power Law model, percentile bands, and an optional goal-condition marker.</w:t>
      </w:r>
    </w:p>
    <w:p>
      <w:pPr>
        <w:spacing w:before="120" w:after="120" w:line="240" w:lineRule="auto"/>
        <w:rPr>
          <w:rFonts w:ascii="Arial" w:hAnsi="Arial" w:cs="Arial"/>
          <w:sz w:val="22"/>
          <w:szCs w:val="22"/>
        </w:rPr>
      </w:pPr>
      <w:r>
        <w:rPr>
          <w:rFonts w:ascii="Arial" w:hAnsi="Arial" w:cs="Arial"/>
          <w:sz w:val="22"/>
          <w:szCs w:val="22"/>
        </w:rPr>
        <w:t>Reliability Growth: plotly_rga() creates a Crow-AMSAA cumulative failures plot from an rga object (ReliaGrowR), including the parametric model fit, confidence bounds, and optional piecewise change-point markers. plotly_duane() creates a Duane plot showing cumulative MTBF against cumulative test time on a log-log scale.</w:t>
      </w:r>
    </w:p>
    <w:p>
      <w:pPr>
        <w:spacing w:before="120" w:after="120" w:line="240" w:lineRule="auto"/>
        <w:rPr>
          <w:rFonts w:ascii="Arial" w:hAnsi="Arial" w:cs="Arial"/>
          <w:sz w:val="22"/>
          <w:szCs w:val="22"/>
        </w:rPr>
      </w:pPr>
      <w:r>
        <w:rPr>
          <w:rFonts w:ascii="Arial" w:hAnsi="Arial" w:cs="Arial"/>
          <w:sz w:val="22"/>
          <w:szCs w:val="22"/>
        </w:rPr>
        <w:t>Repairable Systems: plotly_nhpp() overlays the nonparametric MCF on the fitted parametric NHPP Power Law model. plotly_mcf() creates a nonparametric MCF step-function plot with Nelson variance confidence bands. plotly_exposure() plots the instantaneous event rate as a step function.</w:t>
      </w:r>
    </w:p>
    <w:p>
      <w:pPr>
        <w:spacing w:before="0" w:after="0"/>
      </w:pPr>
    </w:p>
    <w:p>
      <w:pPr>
        <w:pStyle w:val="Heading1"/>
        <w:spacing w:before="120" w:after="120" w:line="240" w:lineRule="auto"/>
        <w:rPr>
          <w:rFonts w:ascii="Arial" w:hAnsi="Arial" w:cs="Arial"/>
          <w:sz w:val="22"/>
          <w:szCs w:val="22"/>
        </w:rPr>
      </w:pPr>
      <w:r>
        <w:rPr>
          <w:rFonts w:ascii="Arial" w:hAnsi="Arial" w:cs="Arial"/>
          <w:sz w:val="22"/>
          <w:szCs w:val="22"/>
        </w:rPr>
        <w:t>Illustrative examples</w:t>
      </w:r>
    </w:p>
    <w:p>
      <w:pPr>
        <w:spacing w:before="120" w:after="120" w:line="240" w:lineRule="auto"/>
        <w:rPr>
          <w:rFonts w:ascii="Arial" w:hAnsi="Arial" w:cs="Arial"/>
          <w:sz w:val="22"/>
          <w:szCs w:val="22"/>
        </w:rPr>
      </w:pPr>
      <w:r>
        <w:rPr>
          <w:rFonts w:ascii="Arial" w:hAnsi="Arial" w:cs="Arial"/>
          <w:sz w:val="22"/>
          <w:szCs w:val="22"/>
        </w:rPr>
        <w:t>The following three examples demonstrate the major functions of ReliaPlotR across different reliability analysis domains.</w:t>
      </w:r>
    </w:p>
    <w:p>
      <w:pPr>
        <w:spacing w:before="0" w:after="0"/>
      </w:pPr>
    </w:p>
    <w:p>
      <w:pPr>
        <w:spacing w:before="120" w:after="120" w:line="240" w:lineRule="auto"/>
        <w:rPr>
          <w:rFonts w:ascii="Arial" w:hAnsi="Arial" w:cs="Arial"/>
          <w:sz w:val="22"/>
          <w:szCs w:val="22"/>
        </w:rPr>
      </w:pPr>
      <w:r>
        <w:rPr>
          <w:rFonts w:ascii="Arial" w:hAnsi="Arial" w:cs="Arial"/>
          <w:b/>
          <w:sz w:val="22"/>
          <w:szCs w:val="22"/>
        </w:rPr>
        <w:t>Example 1: Weibull Probability Plot</w:t>
      </w:r>
    </w:p>
    <w:p>
      <w:pPr>
        <w:spacing w:before="120" w:after="120" w:line="240" w:lineRule="auto"/>
        <w:rPr>
          <w:rFonts w:ascii="Arial" w:hAnsi="Arial" w:cs="Arial"/>
          <w:sz w:val="22"/>
          <w:szCs w:val="22"/>
        </w:rPr>
      </w:pPr>
      <w:r>
        <w:rPr>
          <w:rFonts w:ascii="Arial" w:hAnsi="Arial" w:cs="Arial"/>
          <w:sz w:val="22"/>
          <w:szCs w:val="22"/>
        </w:rPr>
        <w:t>The following code fits a two-parameter Weibull distribution to five failure times using rank regression, computes 90% confidence bounds, and produces an interactive probability plot:</w:t>
      </w:r>
    </w:p>
    <w:p>
      <w:pPr>
        <w:spacing w:before="60" w:after="60" w:line="240" w:lineRule="auto"/>
        <w:ind w:left="720"/>
      </w:pPr>
      <w:r>
        <w:rPr>
          <w:rFonts w:ascii="Courier New" w:hAnsi="Courier New" w:cs="Courier New"/>
          <w:sz w:val="20"/>
          <w:szCs w:val="20"/>
        </w:rPr>
        <w:t>library(WeibullR)</w:t>
      </w:r>
    </w:p>
    <w:p>
      <w:pPr>
        <w:spacing w:before="60" w:after="60" w:line="240" w:lineRule="auto"/>
        <w:ind w:left="720"/>
      </w:pPr>
      <w:r>
        <w:rPr>
          <w:rFonts w:ascii="Courier New" w:hAnsi="Courier New" w:cs="Courier New"/>
          <w:sz w:val="20"/>
          <w:szCs w:val="20"/>
        </w:rPr>
        <w:t>library(ReliaPlotR)</w:t>
      </w:r>
    </w:p>
    <w:p>
      <w:pPr>
        <w:spacing w:before="60" w:after="60" w:line="240" w:lineRule="auto"/>
        <w:ind w:left="720"/>
      </w:pPr>
      <w:r>
        <w:rPr>
          <w:rFonts w:ascii="Courier New" w:hAnsi="Courier New" w:cs="Courier New"/>
          <w:sz w:val="20"/>
          <w:szCs w:val="20"/>
        </w:rPr>
        <w:t>failures &lt;- c(30, 49, 82, 90, 96)</w:t>
      </w:r>
    </w:p>
    <w:p>
      <w:pPr>
        <w:spacing w:before="60" w:after="60" w:line="240" w:lineRule="auto"/>
        <w:ind w:left="720"/>
      </w:pPr>
      <w:r>
        <w:rPr>
          <w:rFonts w:ascii="Courier New" w:hAnsi="Courier New" w:cs="Courier New"/>
          <w:sz w:val="20"/>
          <w:szCs w:val="20"/>
        </w:rPr>
        <w:t>obj &lt;- wblr.conf(wblr.fit(wblr(failures)))</w:t>
      </w:r>
    </w:p>
    <w:p>
      <w:pPr>
        <w:spacing w:before="60" w:after="60" w:line="240" w:lineRule="auto"/>
        <w:ind w:left="720"/>
      </w:pPr>
      <w:r>
        <w:rPr>
          <w:rFonts w:ascii="Courier New" w:hAnsi="Courier New" w:cs="Courier New"/>
          <w:sz w:val="20"/>
          <w:szCs w:val="20"/>
        </w:rPr>
        <w:t>plotly_wblr(obj)</w:t>
      </w:r>
    </w:p>
    <w:p>
      <w:pPr>
        <w:spacing w:before="120" w:after="120" w:line="240" w:lineRule="auto"/>
        <w:rPr>
          <w:rFonts w:ascii="Arial" w:hAnsi="Arial" w:cs="Arial"/>
          <w:sz w:val="22"/>
          <w:szCs w:val="22"/>
        </w:rPr>
      </w:pPr>
      <w:r>
        <w:rPr>
          <w:rFonts w:ascii="Arial" w:hAnsi="Arial" w:cs="Arial"/>
          <w:sz w:val="22"/>
          <w:szCs w:val="22"/>
        </w:rPr>
        <w:t>The resulting plot displays the empirical plotting positions, the fitted Weibull line, and the upper and lower confidence bounds. Hovering over any point reveals the time, probability, and fitted parameter values.</w:t>
      </w:r>
    </w:p>
    <w:p>
      <w:pPr>
        <w:spacing w:before="0" w:after="0"/>
      </w:pPr>
    </w:p>
    <w:p>
      <w:pPr>
        <w:spacing w:before="120" w:after="120" w:line="240" w:lineRule="auto"/>
        <w:rPr>
          <w:rFonts w:ascii="Arial" w:hAnsi="Arial" w:cs="Arial"/>
          <w:sz w:val="22"/>
          <w:szCs w:val="22"/>
        </w:rPr>
      </w:pPr>
      <w:r>
        <w:rPr>
          <w:rFonts w:ascii="Arial" w:hAnsi="Arial" w:cs="Arial"/>
          <w:b/>
          <w:sz w:val="22"/>
          <w:szCs w:val="22"/>
        </w:rPr>
        <w:t>Example 2: ALT Life-Stress Relationship</w:t>
      </w:r>
    </w:p>
    <w:p>
      <w:pPr>
        <w:spacing w:before="120" w:after="120" w:line="240" w:lineRule="auto"/>
        <w:rPr>
          <w:rFonts w:ascii="Arial" w:hAnsi="Arial" w:cs="Arial"/>
          <w:sz w:val="22"/>
          <w:szCs w:val="22"/>
        </w:rPr>
      </w:pPr>
      <w:r>
        <w:rPr>
          <w:rFonts w:ascii="Arial" w:hAnsi="Arial" w:cs="Arial"/>
          <w:sz w:val="22"/>
          <w:szCs w:val="22"/>
        </w:rPr>
        <w:t>The following code builds an ALT model from three stress levels using an Arrhenius life-stress relationship and produces an interactive life-stress plot with percentile bands:</w:t>
      </w:r>
    </w:p>
    <w:p>
      <w:pPr>
        <w:spacing w:before="60" w:after="60" w:line="240" w:lineRule="auto"/>
        <w:ind w:left="720"/>
      </w:pPr>
      <w:r>
        <w:rPr>
          <w:rFonts w:ascii="Courier New" w:hAnsi="Courier New" w:cs="Courier New"/>
          <w:sz w:val="20"/>
          <w:szCs w:val="20"/>
        </w:rPr>
        <w:t>library(WeibullR.ALT)</w:t>
      </w:r>
    </w:p>
    <w:p>
      <w:pPr>
        <w:spacing w:before="60" w:after="60" w:line="240" w:lineRule="auto"/>
        <w:ind w:left="720"/>
      </w:pPr>
      <w:r>
        <w:rPr>
          <w:rFonts w:ascii="Courier New" w:hAnsi="Courier New" w:cs="Courier New"/>
          <w:sz w:val="20"/>
          <w:szCs w:val="20"/>
        </w:rPr>
        <w:t>d1 &lt;- alt.data(c(248, 456, 528, 731, 813, 537), stress = 300)</w:t>
      </w:r>
    </w:p>
    <w:p>
      <w:pPr>
        <w:spacing w:before="60" w:after="60" w:line="240" w:lineRule="auto"/>
        <w:ind w:left="720"/>
      </w:pPr>
      <w:r>
        <w:rPr>
          <w:rFonts w:ascii="Courier New" w:hAnsi="Courier New" w:cs="Courier New"/>
          <w:sz w:val="20"/>
          <w:szCs w:val="20"/>
        </w:rPr>
        <w:t>d2 &lt;- alt.data(c(164, 176, 289), stress = 350)</w:t>
      </w:r>
    </w:p>
    <w:p>
      <w:pPr>
        <w:spacing w:before="60" w:after="60" w:line="240" w:lineRule="auto"/>
        <w:ind w:left="720"/>
      </w:pPr>
      <w:r>
        <w:rPr>
          <w:rFonts w:ascii="Courier New" w:hAnsi="Courier New" w:cs="Courier New"/>
          <w:sz w:val="20"/>
          <w:szCs w:val="20"/>
        </w:rPr>
        <w:t>d3 &lt;- alt.data(c(88, 112, 152), stress = 400)</w:t>
      </w:r>
    </w:p>
    <w:p>
      <w:pPr>
        <w:spacing w:before="60" w:after="60" w:line="240" w:lineRule="auto"/>
        <w:ind w:left="720"/>
      </w:pPr>
      <w:r>
        <w:rPr>
          <w:rFonts w:ascii="Courier New" w:hAnsi="Courier New" w:cs="Courier New"/>
          <w:sz w:val="20"/>
          <w:szCs w:val="20"/>
        </w:rPr>
        <w:t>obj &lt;- alt.fit(alt.parallel(alt.make(list(d1, d2, d3),</w:t>
      </w:r>
    </w:p>
    <w:p>
      <w:pPr>
        <w:spacing w:before="60" w:after="60" w:line="240" w:lineRule="auto"/>
        <w:ind w:left="720"/>
      </w:pPr>
      <w:r>
        <w:rPr>
          <w:rFonts w:ascii="Courier New" w:hAnsi="Courier New" w:cs="Courier New"/>
          <w:sz w:val="20"/>
          <w:szCs w:val="20"/>
        </w:rPr>
        <w:t xml:space="preserve">  dist = "weibull", alt.model = "arrhenius", view_dist_fits = FALSE),</w:t>
      </w:r>
    </w:p>
    <w:p>
      <w:pPr>
        <w:spacing w:before="60" w:after="60" w:line="240" w:lineRule="auto"/>
        <w:ind w:left="720"/>
      </w:pPr>
      <w:r>
        <w:rPr>
          <w:rFonts w:ascii="Courier New" w:hAnsi="Courier New" w:cs="Courier New"/>
          <w:sz w:val="20"/>
          <w:szCs w:val="20"/>
        </w:rPr>
        <w:t xml:space="preserve">  view_parallel_fits = FALSE))</w:t>
      </w:r>
    </w:p>
    <w:p>
      <w:pPr>
        <w:spacing w:before="60" w:after="60" w:line="240" w:lineRule="auto"/>
        <w:ind w:left="720"/>
      </w:pPr>
      <w:r>
        <w:rPr>
          <w:rFonts w:ascii="Courier New" w:hAnsi="Courier New" w:cs="Courier New"/>
          <w:sz w:val="20"/>
          <w:szCs w:val="20"/>
        </w:rPr>
        <w:t>plotly_rel(obj)</w:t>
      </w:r>
    </w:p>
    <w:p>
      <w:pPr>
        <w:spacing w:before="120" w:after="120" w:line="240" w:lineRule="auto"/>
        <w:rPr>
          <w:rFonts w:ascii="Arial" w:hAnsi="Arial" w:cs="Arial"/>
          <w:sz w:val="22"/>
          <w:szCs w:val="22"/>
        </w:rPr>
      </w:pPr>
      <w:r>
        <w:rPr>
          <w:rFonts w:ascii="Arial" w:hAnsi="Arial" w:cs="Arial"/>
          <w:sz w:val="22"/>
          <w:szCs w:val="22"/>
        </w:rPr>
        <w:t>The plot shows the characteristic-life estimates at each stress level, the fitted Arrhenius relationship line, and shaded bands for the 10th and 90th percentiles.</w:t>
      </w:r>
    </w:p>
    <w:p>
      <w:pPr>
        <w:spacing w:before="0" w:after="0"/>
      </w:pPr>
    </w:p>
    <w:p>
      <w:pPr>
        <w:spacing w:before="120" w:after="120" w:line="240" w:lineRule="auto"/>
        <w:rPr>
          <w:rFonts w:ascii="Arial" w:hAnsi="Arial" w:cs="Arial"/>
          <w:sz w:val="22"/>
          <w:szCs w:val="22"/>
        </w:rPr>
      </w:pPr>
      <w:r>
        <w:rPr>
          <w:rFonts w:ascii="Arial" w:hAnsi="Arial" w:cs="Arial"/>
          <w:b/>
          <w:sz w:val="22"/>
          <w:szCs w:val="22"/>
        </w:rPr>
        <w:t>Example 3: MCF Overlay for Two Repairable Systems</w:t>
      </w:r>
    </w:p>
    <w:p>
      <w:pPr>
        <w:spacing w:before="120" w:after="120" w:line="240" w:lineRule="auto"/>
        <w:rPr>
          <w:rFonts w:ascii="Arial" w:hAnsi="Arial" w:cs="Arial"/>
          <w:sz w:val="22"/>
          <w:szCs w:val="22"/>
        </w:rPr>
      </w:pPr>
      <w:r>
        <w:rPr>
          <w:rFonts w:ascii="Arial" w:hAnsi="Arial" w:cs="Arial"/>
          <w:sz w:val="22"/>
          <w:szCs w:val="22"/>
        </w:rPr>
        <w:t>The following code computes the nonparametric MCF for two groups of repairable systems and overlays them on the same plot:</w:t>
      </w:r>
    </w:p>
    <w:p>
      <w:pPr>
        <w:spacing w:before="60" w:after="60" w:line="240" w:lineRule="auto"/>
        <w:ind w:left="720"/>
      </w:pPr>
      <w:r>
        <w:rPr>
          <w:rFonts w:ascii="Courier New" w:hAnsi="Courier New" w:cs="Courier New"/>
          <w:sz w:val="20"/>
          <w:szCs w:val="20"/>
        </w:rPr>
        <w:t>library(ReliaGrowR)</w:t>
      </w:r>
    </w:p>
    <w:p>
      <w:pPr>
        <w:spacing w:before="60" w:after="60" w:line="240" w:lineRule="auto"/>
        <w:ind w:left="720"/>
      </w:pPr>
      <w:r>
        <w:rPr>
          <w:rFonts w:ascii="Courier New" w:hAnsi="Courier New" w:cs="Courier New"/>
          <w:sz w:val="20"/>
          <w:szCs w:val="20"/>
        </w:rPr>
        <w:t>fit1 &lt;- mcf(id = c("A","A","A","B","B"), time = c(50,150,350,100,300))</w:t>
      </w:r>
    </w:p>
    <w:p>
      <w:pPr>
        <w:spacing w:before="60" w:after="60" w:line="240" w:lineRule="auto"/>
        <w:ind w:left="720"/>
      </w:pPr>
      <w:r>
        <w:rPr>
          <w:rFonts w:ascii="Courier New" w:hAnsi="Courier New" w:cs="Courier New"/>
          <w:sz w:val="20"/>
          <w:szCs w:val="20"/>
        </w:rPr>
        <w:t>fit2 &lt;- mcf(id = c("X","X","Y"), time = c(60, 220, 180))</w:t>
      </w:r>
    </w:p>
    <w:p>
      <w:pPr>
        <w:spacing w:before="60" w:after="60" w:line="240" w:lineRule="auto"/>
        <w:ind w:left="720"/>
      </w:pPr>
      <w:r>
        <w:rPr>
          <w:rFonts w:ascii="Courier New" w:hAnsi="Courier New" w:cs="Courier New"/>
          <w:sz w:val="20"/>
          <w:szCs w:val="20"/>
        </w:rPr>
        <w:t>plotly_mcf(list(fit1, fit2), cols = c("steelblue", "tomato"))</w:t>
      </w:r>
    </w:p>
    <w:p>
      <w:pPr>
        <w:spacing w:before="120" w:after="120" w:line="240" w:lineRule="auto"/>
        <w:rPr>
          <w:rFonts w:ascii="Arial" w:hAnsi="Arial" w:cs="Arial"/>
          <w:sz w:val="22"/>
          <w:szCs w:val="22"/>
        </w:rPr>
      </w:pPr>
      <w:r>
        <w:rPr>
          <w:rFonts w:ascii="Arial" w:hAnsi="Arial" w:cs="Arial"/>
          <w:sz w:val="22"/>
          <w:szCs w:val="22"/>
        </w:rPr>
        <w:t>Each MCF is rendered as a step function in a distinct color. Clicking a legend entry toggles the corresponding system’s traces on and off.</w:t>
      </w:r>
    </w:p>
    <w:p>
      <w:pPr>
        <w:spacing w:before="0" w:after="0"/>
      </w:pPr>
    </w:p>
    <w:p>
      <w:pPr>
        <w:pStyle w:val="Heading1"/>
        <w:spacing w:before="120" w:after="120" w:line="240" w:lineRule="auto"/>
        <w:rPr>
          <w:rFonts w:ascii="Arial" w:hAnsi="Arial" w:cs="Arial"/>
          <w:sz w:val="22"/>
          <w:szCs w:val="22"/>
        </w:rPr>
      </w:pPr>
      <w:r>
        <w:rPr>
          <w:rFonts w:ascii="Arial" w:hAnsi="Arial" w:cs="Arial"/>
          <w:sz w:val="22"/>
          <w:szCs w:val="22"/>
        </w:rPr>
        <w:t>Impact</w:t>
      </w:r>
    </w:p>
    <w:p>
      <w:pPr>
        <w:spacing w:before="120" w:after="120" w:line="240" w:lineRule="auto"/>
        <w:rPr>
          <w:rFonts w:ascii="Arial" w:hAnsi="Arial" w:cs="Arial"/>
          <w:sz w:val="22"/>
          <w:szCs w:val="22"/>
        </w:rPr>
      </w:pPr>
      <w:r>
        <w:rPr>
          <w:rFonts w:ascii="Arial" w:hAnsi="Arial" w:cs="Arial"/>
          <w:sz w:val="22"/>
          <w:szCs w:val="22"/>
        </w:rPr>
        <w:t>ReliaPlotR addresses a practical need in applied reliability engineering: the ability to produce shareable, interactive reliability plots from standard R analyses without learning JavaScript or web development tools. The package enables new workflows that were previously difficult or time-consuming.</w:t>
      </w:r>
    </w:p>
    <w:p>
      <w:pPr>
        <w:spacing w:before="120" w:after="120" w:line="240" w:lineRule="auto"/>
        <w:rPr>
          <w:rFonts w:ascii="Arial" w:hAnsi="Arial" w:cs="Arial"/>
          <w:sz w:val="22"/>
          <w:szCs w:val="22"/>
        </w:rPr>
      </w:pPr>
      <w:r>
        <w:rPr>
          <w:rFonts w:ascii="Arial" w:hAnsi="Arial" w:cs="Arial"/>
          <w:sz w:val="22"/>
          <w:szCs w:val="22"/>
        </w:rPr>
        <w:t>Reproducible interactive reports. By returning plotly objects, ReliaPlotR integrates directly into R Markdown and Quarto HTML documents. A reliability engineer can write a fully reproducible analysis script that fits models, creates interactive plots, and renders them into a self-contained HTML report for distribution to colleagues or clients — all within a single R workflow.</w:t>
      </w:r>
    </w:p>
    <w:p>
      <w:pPr>
        <w:spacing w:before="120" w:after="120" w:line="240" w:lineRule="auto"/>
        <w:rPr>
          <w:rFonts w:ascii="Arial" w:hAnsi="Arial" w:cs="Arial"/>
          <w:sz w:val="22"/>
          <w:szCs w:val="22"/>
        </w:rPr>
      </w:pPr>
      <w:r>
        <w:rPr>
          <w:rFonts w:ascii="Arial" w:hAnsi="Arial" w:cs="Arial"/>
          <w:sz w:val="22"/>
          <w:szCs w:val="22"/>
        </w:rPr>
        <w:t>Comparative analysis via overlay. The list-input overlay pattern allows multiple models, datasets, or time periods to be compared on a single interactive plot. Users can toggle individual models via the legend, making it easy to identify which dataset or model specification behaves differently.</w:t>
      </w:r>
    </w:p>
    <w:p>
      <w:pPr>
        <w:spacing w:before="120" w:after="120" w:line="240" w:lineRule="auto"/>
        <w:rPr>
          <w:rFonts w:ascii="Arial" w:hAnsi="Arial" w:cs="Arial"/>
          <w:sz w:val="22"/>
          <w:szCs w:val="22"/>
        </w:rPr>
      </w:pPr>
      <w:r>
        <w:rPr>
          <w:rFonts w:ascii="Arial" w:hAnsi="Arial" w:cs="Arial"/>
          <w:sz w:val="22"/>
          <w:szCs w:val="22"/>
        </w:rPr>
        <w:t>Teaching and training. Interactive plots are well suited to instructional contexts, where students benefit from exploring how changes in sample size, censoring, or distribution parameters affect the shape of a probability plot or confidence contour.</w:t>
      </w:r>
    </w:p>
    <w:p>
      <w:pPr>
        <w:spacing w:before="120" w:after="120" w:line="240" w:lineRule="auto"/>
        <w:rPr>
          <w:rFonts w:ascii="Arial" w:hAnsi="Arial" w:cs="Arial"/>
          <w:sz w:val="22"/>
          <w:szCs w:val="22"/>
        </w:rPr>
      </w:pPr>
      <w:r>
        <w:rPr>
          <w:rFonts w:ascii="Arial" w:hAnsi="Arial" w:cs="Arial"/>
          <w:sz w:val="22"/>
          <w:szCs w:val="22"/>
        </w:rPr>
        <w:t>Adoption and usage. Since its initial release on CRAN, ReliaPlotR has accumulated approximately 2,150 total downloads, with approximately 529 downloads in the 30 days preceding this submission (as measured by the CRAN download logs at https://cranlogs.r-pkg.org). The package is actively maintained, with six releases to date; the most recent (v0.6) extended the repairable systems functionality to include a nonparametric MCF alongside the NHPP model fit.</w:t>
      </w:r>
    </w:p>
    <w:p>
      <w:pPr>
        <w:spacing w:before="120" w:after="120" w:line="240" w:lineRule="auto"/>
        <w:rPr>
          <w:rFonts w:ascii="Arial" w:hAnsi="Arial" w:cs="Arial"/>
          <w:sz w:val="22"/>
          <w:szCs w:val="22"/>
        </w:rPr>
      </w:pPr>
      <w:r>
        <w:rPr>
          <w:rFonts w:ascii="Arial" w:hAnsi="Arial" w:cs="Arial"/>
          <w:sz w:val="22"/>
          <w:szCs w:val="22"/>
        </w:rPr>
        <w:t>The package depends on WeibullR [1], ReliaGrowR [2], and WeibullR.ALT [3], all of which are established packages used in academic reliability research. By providing interactive visualizations for these packages, ReliaPlotR makes their outputs more accessible to engineers who work primarily in report-based workflows.</w:t>
      </w:r>
    </w:p>
    <w:p>
      <w:pPr>
        <w:spacing w:before="120" w:after="120" w:line="240" w:lineRule="auto"/>
        <w:rPr>
          <w:rFonts w:ascii="Arial" w:hAnsi="Arial" w:cs="Arial"/>
          <w:sz w:val="22"/>
          <w:szCs w:val="22"/>
        </w:rPr>
      </w:pPr>
      <w:r>
        <w:rPr>
          <w:rFonts w:ascii="Arial" w:hAnsi="Arial" w:cs="Arial"/>
          <w:sz w:val="22"/>
          <w:szCs w:val="22"/>
        </w:rPr>
        <w:t>Future development directions include support for additional lifetime distributions (e.g., exponential, gamma), a Shiny application interface for users who prefer a point-and-click workflow, and integration with the ggplot2 ecosystem via ggplotly.</w:t>
      </w:r>
    </w:p>
    <w:p>
      <w:pPr>
        <w:spacing w:before="0" w:after="0"/>
      </w:pPr>
    </w:p>
    <w:p>
      <w:pPr>
        <w:pStyle w:val="Heading1"/>
        <w:spacing w:before="120" w:after="120" w:line="240" w:lineRule="auto"/>
        <w:rPr>
          <w:rFonts w:ascii="Arial" w:hAnsi="Arial" w:cs="Arial"/>
          <w:sz w:val="22"/>
          <w:szCs w:val="22"/>
        </w:rPr>
      </w:pPr>
      <w:r>
        <w:rPr>
          <w:rFonts w:ascii="Arial" w:hAnsi="Arial" w:cs="Arial"/>
          <w:sz w:val="22"/>
          <w:szCs w:val="22"/>
        </w:rPr>
        <w:t>Conclusions</w:t>
      </w:r>
    </w:p>
    <w:p>
      <w:pPr>
        <w:spacing w:before="120" w:after="120" w:line="240" w:lineRule="auto"/>
        <w:rPr>
          <w:rFonts w:ascii="Arial" w:hAnsi="Arial" w:cs="Arial"/>
          <w:sz w:val="22"/>
          <w:szCs w:val="22"/>
        </w:rPr>
      </w:pPr>
      <w:r>
        <w:rPr>
          <w:rFonts w:ascii="Arial" w:hAnsi="Arial" w:cs="Arial"/>
          <w:sz w:val="22"/>
          <w:szCs w:val="22"/>
        </w:rPr>
        <w:t>ReliaPlotR provides a unified, interactive plotly-based visualization interface for four reliability analysis domains: life data analysis, accelerated life testing, reliability growth, and repairable systems analysis. The package wraps three established R fitting packages and exposes a consistent function interface, allowing users to produce interactive probability plots, confidence contours, growth curves, life-stress relationship plots, and mean cumulative function plots with minimal code.</w:t>
      </w:r>
    </w:p>
    <w:p>
      <w:pPr>
        <w:spacing w:before="120" w:after="120" w:line="240" w:lineRule="auto"/>
        <w:rPr>
          <w:rFonts w:ascii="Arial" w:hAnsi="Arial" w:cs="Arial"/>
          <w:sz w:val="22"/>
          <w:szCs w:val="22"/>
        </w:rPr>
      </w:pPr>
      <w:r>
        <w:rPr>
          <w:rFonts w:ascii="Arial" w:hAnsi="Arial" w:cs="Arial"/>
          <w:sz w:val="22"/>
          <w:szCs w:val="22"/>
        </w:rPr>
        <w:t>The package is available on CRAN, actively maintained with full test coverage, and documented with four domain-specific vignettes and a pkgdown reference site. By bridging the gap between statistical fitting tools and interactive web-based visualization, ReliaPlotR enables reliability engineers and researchers to produce and share exploratory, reproducible reliability analyses more efficiently.</w:t>
      </w:r>
    </w:p>
    <w:p>
      <w:pPr>
        <w:spacing w:before="0" w:after="0"/>
      </w:pPr>
    </w:p>
    <w:p>
      <w:pPr>
        <w:spacing w:before="120" w:after="120" w:line="240" w:lineRule="auto"/>
        <w:rPr>
          <w:rFonts w:ascii="Arial" w:hAnsi="Arial" w:cs="Arial"/>
          <w:sz w:val="22"/>
          <w:szCs w:val="22"/>
        </w:rPr>
      </w:pPr>
      <w:r>
        <w:rPr>
          <w:rFonts w:ascii="Arial" w:hAnsi="Arial" w:cs="Arial"/>
          <w:sz w:val="22"/>
          <w:szCs w:val="22"/>
        </w:rPr>
        <w:t>Acknowledgements</w:t>
      </w:r>
    </w:p>
    <w:p>
      <w:pPr>
        <w:spacing w:before="0" w:after="0"/>
      </w:pPr>
    </w:p>
    <w:p>
      <w:pPr>
        <w:pStyle w:val="Heading1"/>
        <w:spacing w:before="120" w:after="120" w:line="240" w:lineRule="auto"/>
        <w:rPr>
          <w:rFonts w:ascii="Arial" w:hAnsi="Arial" w:cs="Arial"/>
          <w:sz w:val="22"/>
          <w:szCs w:val="22"/>
        </w:rPr>
      </w:pPr>
      <w:r>
        <w:rPr>
          <w:rFonts w:ascii="Arial" w:hAnsi="Arial" w:cs="Arial"/>
          <w:sz w:val="22"/>
          <w:szCs w:val="22"/>
        </w:rPr>
        <w:t>References</w:t>
      </w:r>
    </w:p>
    <w:p>
      <w:pPr>
        <w:spacing w:before="120" w:after="120" w:line="240" w:lineRule="auto"/>
        <w:rPr>
          <w:rFonts w:ascii="Arial" w:hAnsi="Arial" w:cs="Arial"/>
          <w:sz w:val="22"/>
          <w:szCs w:val="22"/>
        </w:rPr>
      </w:pPr>
      <w:r>
        <w:rPr>
          <w:rFonts w:ascii="Arial" w:hAnsi="Arial" w:cs="Arial"/>
          <w:sz w:val="22"/>
          <w:szCs w:val="22"/>
        </w:rPr>
        <w:t>[1] Symynck J, De Bal F. WeibullR: Weibull Analysis for Reliability Engineering. R package version 1.2.1. https://CRAN.R-project.org/package=WeibullR</w:t>
      </w:r>
    </w:p>
    <w:p>
      <w:pPr>
        <w:spacing w:before="120" w:after="120" w:line="240" w:lineRule="auto"/>
        <w:rPr>
          <w:rFonts w:ascii="Arial" w:hAnsi="Arial" w:cs="Arial"/>
          <w:sz w:val="22"/>
          <w:szCs w:val="22"/>
        </w:rPr>
      </w:pPr>
      <w:r>
        <w:rPr>
          <w:rFonts w:ascii="Arial" w:hAnsi="Arial" w:cs="Arial"/>
          <w:sz w:val="22"/>
          <w:szCs w:val="22"/>
        </w:rPr>
        <w:t>[2] Govan P. ReliaGrowR: Reliability Growth Analysis. R package version 0.7. https://CRAN.R-project.org/package=ReliaGrowR</w:t>
      </w:r>
    </w:p>
    <w:p>
      <w:pPr>
        <w:spacing w:before="120" w:after="120" w:line="240" w:lineRule="auto"/>
        <w:rPr>
          <w:rFonts w:ascii="Arial" w:hAnsi="Arial" w:cs="Arial"/>
          <w:sz w:val="22"/>
          <w:szCs w:val="22"/>
        </w:rPr>
      </w:pPr>
      <w:r>
        <w:rPr>
          <w:rFonts w:ascii="Arial" w:hAnsi="Arial" w:cs="Arial"/>
          <w:sz w:val="22"/>
          <w:szCs w:val="22"/>
        </w:rPr>
        <w:t>[3] Govan P. WeibullR.ALT: Accelerated Life Testing for Weibull Analysis. R package version 0.2.0. https://CRAN.R-project.org/package=WeibullR.ALT</w:t>
      </w:r>
    </w:p>
    <w:p>
      <w:pPr>
        <w:spacing w:before="120" w:after="120" w:line="240" w:lineRule="auto"/>
        <w:rPr>
          <w:rFonts w:ascii="Arial" w:hAnsi="Arial" w:cs="Arial"/>
          <w:sz w:val="22"/>
          <w:szCs w:val="22"/>
        </w:rPr>
      </w:pPr>
      <w:r>
        <w:rPr>
          <w:rFonts w:ascii="Arial" w:hAnsi="Arial" w:cs="Arial"/>
          <w:sz w:val="22"/>
          <w:szCs w:val="22"/>
        </w:rPr>
        <w:t>[4] Sievert C (2020). Interactive Web-Based Data Visualization with R, plotly, and shiny. Chapman and Hall/CRC. https://plotly-r.com</w:t>
      </w:r>
    </w:p>
    <w:p>
      <w:pPr>
        <w:spacing w:before="120" w:after="120" w:line="240" w:lineRule="auto"/>
        <w:rPr>
          <w:rFonts w:ascii="Arial" w:hAnsi="Arial" w:cs="Arial"/>
          <w:sz w:val="22"/>
          <w:szCs w:val="22"/>
        </w:rPr>
      </w:pPr>
      <w:r>
        <w:rPr>
          <w:rFonts w:ascii="Arial" w:hAnsi="Arial" w:cs="Arial"/>
          <w:sz w:val="22"/>
          <w:szCs w:val="22"/>
        </w:rPr>
        <w:t>[5] Meeker WQ, Escobar LA (1998). Statistical Methods for Reliability Data. John Wiley &amp; Sons.</w:t>
      </w:r>
    </w:p>
    <w:p>
      <w:pPr>
        <w:spacing w:before="120" w:after="120" w:line="240" w:lineRule="auto"/>
        <w:rPr>
          <w:rFonts w:ascii="Arial" w:hAnsi="Arial" w:cs="Arial"/>
          <w:sz w:val="22"/>
          <w:szCs w:val="22"/>
        </w:rPr>
      </w:pPr>
      <w:r>
        <w:rPr>
          <w:rFonts w:ascii="Arial" w:hAnsi="Arial" w:cs="Arial"/>
          <w:sz w:val="22"/>
          <w:szCs w:val="22"/>
        </w:rPr>
        <w:t>[6] Crow LH (1975). Reliability analysis for complex, repairable systems. In Reliability and Biometry, SIAM, Philadelphia, pp. 379–410.</w:t>
      </w:r>
    </w:p>
    <w:p>
      <w:pPr>
        <w:spacing w:before="120" w:after="120" w:line="240" w:lineRule="auto"/>
        <w:rPr>
          <w:rFonts w:ascii="Arial" w:hAnsi="Arial" w:cs="Arial"/>
          <w:sz w:val="22"/>
          <w:szCs w:val="22"/>
        </w:rPr>
      </w:pPr>
      <w:r>
        <w:rPr>
          <w:rFonts w:ascii="Arial" w:hAnsi="Arial" w:cs="Arial"/>
          <w:sz w:val="22"/>
          <w:szCs w:val="22"/>
        </w:rPr>
        <w:t>[7] Govan P. ReliaPlotR: Interactive Reliability Probability Plots. R package version 0.6. https://doi.org/10.32614/CRAN.package.ReliaPlotR</w:t>
      </w:r>
    </w:p>
    <w:sectPr w:rsidR="00B40A22" w:rsidRPr="00883C55" w:rsidSect="00D6575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E141" w14:textId="77777777" w:rsidR="00D53AC3" w:rsidRDefault="00D53AC3" w:rsidP="00AB5093">
      <w:pPr>
        <w:spacing w:after="0" w:line="240" w:lineRule="auto"/>
      </w:pPr>
      <w:r>
        <w:separator/>
      </w:r>
    </w:p>
  </w:endnote>
  <w:endnote w:type="continuationSeparator" w:id="0">
    <w:p w14:paraId="3775C13D" w14:textId="77777777" w:rsidR="00D53AC3" w:rsidRDefault="00D53AC3"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3208" w14:textId="77777777" w:rsidR="00FE615A" w:rsidRDefault="00FE6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69F0" w14:textId="77777777" w:rsidR="00D53AC3" w:rsidRDefault="00D53AC3" w:rsidP="00AB5093">
      <w:pPr>
        <w:spacing w:after="0" w:line="240" w:lineRule="auto"/>
      </w:pPr>
      <w:r>
        <w:separator/>
      </w:r>
    </w:p>
  </w:footnote>
  <w:footnote w:type="continuationSeparator" w:id="0">
    <w:p w14:paraId="34C72557" w14:textId="77777777" w:rsidR="00D53AC3" w:rsidRDefault="00D53AC3"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ListParagraph">
    <w:name w:val="List Paragraph"/>
    <w:basedOn w:val="Normal"/>
    <w:uiPriority w:val="34"/>
    <w:qFormat/>
    <w:rsid w:val="00DE2B25"/>
    <w:pPr>
      <w:ind w:left="720"/>
      <w:contextualSpacing/>
    </w:pPr>
  </w:style>
  <w:style w:type="character" w:styleId="Hyperlink">
    <w:name w:val="Hyperlink"/>
    <w:basedOn w:val="DefaultParagraphFont"/>
    <w:uiPriority w:val="99"/>
    <w:unhideWhenUsed/>
    <w:rsid w:val="00E71895"/>
    <w:rPr>
      <w:color w:val="0000FF" w:themeColor="hyperlink"/>
      <w:u w:val="single"/>
    </w:rPr>
  </w:style>
  <w:style w:type="character" w:styleId="UnresolvedMention">
    <w:name w:val="Unresolved Mention"/>
    <w:basedOn w:val="DefaultParagraphFont"/>
    <w:uiPriority w:val="99"/>
    <w:semiHidden/>
    <w:unhideWhenUsed/>
    <w:rsid w:val="00E71895"/>
    <w:rPr>
      <w:color w:val="808080"/>
      <w:shd w:val="clear" w:color="auto" w:fill="E6E6E6"/>
    </w:rPr>
  </w:style>
  <w:style w:type="character" w:styleId="CommentReference">
    <w:name w:val="annotation reference"/>
    <w:basedOn w:val="DefaultParagraphFont"/>
    <w:uiPriority w:val="99"/>
    <w:semiHidden/>
    <w:unhideWhenUsed/>
    <w:rsid w:val="00D45277"/>
    <w:rPr>
      <w:sz w:val="16"/>
      <w:szCs w:val="16"/>
    </w:rPr>
  </w:style>
  <w:style w:type="paragraph" w:styleId="CommentText">
    <w:name w:val="annotation text"/>
    <w:basedOn w:val="Normal"/>
    <w:link w:val="CommentTextChar"/>
    <w:uiPriority w:val="99"/>
    <w:unhideWhenUsed/>
    <w:rsid w:val="00D45277"/>
    <w:pPr>
      <w:spacing w:line="240" w:lineRule="auto"/>
    </w:pPr>
    <w:rPr>
      <w:sz w:val="20"/>
    </w:rPr>
  </w:style>
  <w:style w:type="character" w:customStyle="1" w:styleId="CommentTextChar">
    <w:name w:val="Comment Text Char"/>
    <w:basedOn w:val="DefaultParagraphFont"/>
    <w:link w:val="CommentText"/>
    <w:uiPriority w:val="99"/>
    <w:rsid w:val="00D45277"/>
    <w:rPr>
      <w:sz w:val="20"/>
    </w:rPr>
  </w:style>
  <w:style w:type="paragraph" w:styleId="CommentSubject">
    <w:name w:val="annotation subject"/>
    <w:basedOn w:val="CommentText"/>
    <w:next w:val="CommentText"/>
    <w:link w:val="CommentSubjectChar"/>
    <w:uiPriority w:val="99"/>
    <w:semiHidden/>
    <w:unhideWhenUsed/>
    <w:rsid w:val="00D45277"/>
    <w:rPr>
      <w:b/>
      <w:bCs/>
    </w:rPr>
  </w:style>
  <w:style w:type="character" w:customStyle="1" w:styleId="CommentSubjectChar">
    <w:name w:val="Comment Subject Char"/>
    <w:basedOn w:val="CommentTextChar"/>
    <w:link w:val="CommentSubject"/>
    <w:uiPriority w:val="99"/>
    <w:semiHidden/>
    <w:rsid w:val="00D45277"/>
    <w:rPr>
      <w:b/>
      <w:bCs/>
      <w:sz w:val="20"/>
    </w:rPr>
  </w:style>
  <w:style w:type="character" w:customStyle="1" w:styleId="Hyperlink1">
    <w:name w:val="Hyperlink.1"/>
    <w:basedOn w:val="DefaultParagraphFon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rong">
    <w:name w:val="Strong"/>
    <w:basedOn w:val="DefaultParagraphFon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sz w:val="18"/>
      <w:szCs w:val="18"/>
    </w:rPr>
  </w:style>
  <w:style w:type="character" w:styleId="FollowedHyperlink">
    <w:name w:val="FollowedHyperlink"/>
    <w:basedOn w:val="DefaultParagraphFont"/>
    <w:uiPriority w:val="99"/>
    <w:semiHidden/>
    <w:unhideWhenUsed/>
    <w:rsid w:val="00151B5A"/>
    <w:rPr>
      <w:color w:val="800080" w:themeColor="followedHyperlink"/>
      <w:u w:val="single"/>
    </w:rPr>
  </w:style>
  <w:style w:type="character" w:customStyle="1" w:styleId="Heading1Char">
    <w:name w:val="Heading 1 Char"/>
    <w:basedOn w:val="DefaultParagraphFont"/>
    <w:link w:val="Heading1"/>
    <w:rsid w:val="005F0B17"/>
    <w:rPr>
      <w:rFonts w:ascii="Cambria" w:eastAsia="Cambria" w:hAnsi="Cambria" w:cs="Cambria"/>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twarex@elsevier.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softwarex@elsevier.com" TargetMode="External"/><Relationship Id="rId17" Type="http://schemas.openxmlformats.org/officeDocument/2006/relationships/hyperlink" Target="https://f1000research.com/articles/9-1257/v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zart.github.io/documenta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sevier.com/journals/softwarex/2352-7110/guide-for-authors"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lsevier.com/journals/softwarex/2352-7110/guide-for-authors" TargetMode="External"/><Relationship Id="rId23" Type="http://schemas.openxmlformats.org/officeDocument/2006/relationships/footer" Target="footer3.xml"/><Relationship Id="rId10" Type="http://schemas.openxmlformats.org/officeDocument/2006/relationships/hyperlink" Target="https://www.elsevier.com/journals/softwarex/2352-7110/guide-for-authors"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ozart/mozart2"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3.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6854</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SoftwareX_article_template.docx</dc:title>
  <dc:creator>Vannoni, Giulia (ELS-CON)</dc:creator>
  <cp:lastModifiedBy>Sinha, Tanur (ELS-LOW)</cp:lastModifiedBy>
  <cp:revision>2</cp:revision>
  <dcterms:created xsi:type="dcterms:W3CDTF">2026-03-30T10:33:00Z</dcterms:created>
  <dcterms:modified xsi:type="dcterms:W3CDTF">2026-03-30T10:33:00Z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ies>
</file>