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r>
        <w:t xml:space="preserve"/>
      </w:r>
    </w:p>
    <w:p>
      <w:pPr>
        <w:spacing w:after="200"/>
        <w:jc w:val="center"/>
      </w:pPr>
      <w:r>
        <w:rPr>
          <w:b/>
          <w:bCs/>
          <w:sz w:val="40"/>
          <w:szCs w:val="40"/>
        </w:rPr>
        <w:t xml:space="preserve">MyFM Intelligent Asset &amp; Maintenance Platform</w:t>
      </w:r>
    </w:p>
    <w:p>
      <w:pPr>
        <w:spacing w:after="400"/>
        <w:jc w:val="center"/>
      </w:pPr>
      <w:r>
        <w:rPr>
          <w:i/>
          <w:iCs/>
          <w:sz w:val="24"/>
          <w:szCs w:val="24"/>
        </w:rPr>
        <w:t xml:space="preserve">Research Document: NRM3, SFG20 Standards &amp; AI-Powered FM Solutions</w:t>
      </w:r>
    </w:p>
    <w:p>
      <w:r>
        <w:t xml:space="preserve"/>
      </w:r>
    </w:p>
    <w:p>
      <w:r>
        <w:t xml:space="preserve"/>
      </w:r>
    </w:p>
    <w:p>
      <w:pPr>
        <w:spacing w:before="200"/>
      </w:pPr>
      <w:r>
        <w:rPr>
          <w:b/>
          <w:bCs/>
        </w:rPr>
        <w:t xml:space="preserve">Prepared for:</w:t>
      </w:r>
    </w:p>
    <w:p>
      <w:pPr>
        <w:spacing w:after="200"/>
      </w:pPr>
      <w:r>
        <w:t xml:space="preserve">MyFM — Head of Technical Services</w:t>
      </w:r>
    </w:p>
    <w:p>
      <w:pPr>
        <w:spacing w:before="100"/>
      </w:pPr>
      <w:r>
        <w:rPr>
          <w:b/>
          <w:bCs/>
        </w:rPr>
        <w:t xml:space="preserve">Prepared by:</w:t>
      </w:r>
    </w:p>
    <w:p>
      <w:pPr>
        <w:spacing w:after="200"/>
      </w:pPr>
      <w:r>
        <w:t xml:space="preserve">Grassroots Ideas</w:t>
      </w:r>
    </w:p>
    <w:p>
      <w:pPr>
        <w:spacing w:before="100"/>
      </w:pPr>
      <w:r>
        <w:rPr>
          <w:b/>
          <w:bCs/>
        </w:rPr>
        <w:t xml:space="preserve">Date:</w:t>
      </w:r>
    </w:p>
    <w:p>
      <w:pPr>
        <w:spacing w:after="200"/>
      </w:pPr>
      <w:r>
        <w:t xml:space="preserve">March 2026</w:t>
      </w:r>
    </w:p>
    <w:p>
      <w:pPr>
        <w:spacing w:before="100"/>
      </w:pPr>
      <w:r>
        <w:rPr>
          <w:b/>
          <w:bCs/>
        </w:rPr>
        <w:t xml:space="preserve">Version:</w:t>
      </w:r>
    </w:p>
    <w:p>
      <w:r>
        <w:t xml:space="preserve">1.0</w:t>
      </w:r>
    </w:p>
    <w:p>
      <w:r>
        <w:br w:type="page"/>
      </w:r>
    </w:p>
    <w:p>
      <w:pPr>
        <w:pStyle w:val="Heading1"/>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Executive Summary</w:t>
      </w:r>
    </w:p>
    <w:p>
      <w:pPr>
        <w:spacing w:after="200"/>
      </w:pPr>
      <w:r>
        <w:t xml:space="preserve">MyFM faces a critical challenge in inconsistent asset data management across its global client portfolio. When winning new contracts, the company encounters a spectrum of asset documentation: some clients provide comprehensive CAFM (Computerized Asset and Facilities Management) exports with detailed asset registers, while others provide nothing beyond building dimensions and usage type. This inconsistency forces bid teams to rely on tribal knowledge, spreadsheet estimates, and manual cross-referencing, making the process slow, error-prone, and difficult to scale.</w:t>
      </w:r>
    </w:p>
    <w:p>
      <w:pPr>
        <w:spacing w:after="200"/>
      </w:pPr>
      <w:r>
        <w:t xml:space="preserve">The operational challenge is compounded by the need to maintain a master data library of standard maintenance procedures based on NRM3 (New Rules of Measurement 3) and SFG20 (Standard Maintenance Specification) in unwieldy Excel spreadsheets. Global mobilisation further complicates matters: when MyFM enters new countries, country teams must validate master procedures against local legislation, a workflow currently managed through email chains and version-controlled files with no audit trail or conflict resolution mechanism.</w:t>
      </w:r>
    </w:p>
    <w:p>
      <w:pPr>
        <w:spacing w:after="200"/>
      </w:pPr>
      <w:r>
        <w:t xml:space="preserve">This document presents comprehensive research into the NRM3 and SFG20 standards that form the backbone of FM operations, sector-specific analysis for Banking and Life Sciences facilities, a proposed data model that unifies asset classification with maintenance procedures across jurisdictions, and AI-powered solutions to transform bid accuracy and operational efficiency. Three interactive mockups have been developed to demonstrate the vision: an Asset Taxonomy Browser that replaces spreadsheets with structured master data management, an AI Bid Estimator that learns from historical contract data to predict asset quantities and costs, and a Global Mobilisation Workflow that streamlines procedure validation and country-specific variants.</w:t>
      </w:r>
    </w:p>
    <w:p>
      <w:pPr>
        <w:pStyle w:val="Heading1"/>
      </w:pPr>
      <w:r>
        <w:t xml:space="preserve">2. Introduction to Facilities Management</w:t>
      </w:r>
    </w:p>
    <w:p>
      <w:pPr>
        <w:pStyle w:val="Heading2"/>
      </w:pPr>
      <w:r>
        <w:t xml:space="preserve">2.1 The FM Landscape</w:t>
      </w:r>
    </w:p>
    <w:p>
      <w:pPr>
        <w:spacing w:after="200"/>
      </w:pPr>
      <w:r>
        <w:t xml:space="preserve">Facilities Management encompasses two distinct categories: hard services and soft services. Hard services include all mechanical, electrical, and plumbing (MEP) infrastructure — HVAC systems, electrical distribution, water supply, fire safety systems, lift installations, Building Management Systems (BMS), and physical security. Soft services include cleaning, catering, landscaping, waste management, and reception services. The FM industry is undergoing a fundamental shift from reactive maintenance (fix it when it breaks) to preventive maintenance (maintain on schedule) to predictive maintenance (maintain based on actual condition and failure risk). This transition is driven by three forces: digital data availability, IoT sensor networks, and AI analytics that can learn from historical maintenance records and predict failures before they occur.</w:t>
      </w:r>
    </w:p>
    <w:p>
      <w:pPr>
        <w:spacing w:after="200"/>
      </w:pPr>
      <w:r>
        <w:t xml:space="preserve">The key operational challenge remains asset data inconsistency. Every facility has a different profile: a banking branch may have comprehensive asset documentation, while a newly acquired office building may have none. This forces FM providers to estimate asset quantities based on building type, square footage, density patterns, and age — a process that currently relies on accumulated experience rather than structured data.</w:t>
      </w:r>
    </w:p>
    <w:p>
      <w:pPr>
        <w:pStyle w:val="Heading2"/>
      </w:pPr>
      <w:r>
        <w:t xml:space="preserve">2.2 The Data Challenge</w:t>
      </w:r>
    </w:p>
    <w:p>
      <w:pPr>
        <w:spacing w:after="200"/>
      </w:pPr>
      <w:r>
        <w:t xml:space="preserve">When winning new FM contracts, providers face a spectrum of data availability. On one end, some clients hand over comprehensive CAFM system exports with complete asset registers, maintenance histories, and performance metrics. On the other end, others provide nothing beyond building dimensions, floor count, and usage classification. The provider must bridge this gap by estimating asset quantities from architectural and operational parameters.</w:t>
      </w:r>
    </w:p>
    <w:p>
      <w:pPr>
        <w:spacing w:after="200"/>
      </w:pPr>
      <w:r>
        <w:t xml:space="preserve">Currently, this estimation process relies on tribal knowledge trapped in spreadsheets — informal rules like "a 5,000 sqft banking branch typically has 2 Air Handling Units, 8 Fan Coil Units, 1 main electrical distribution board, 1 UPS, 1 BMS controller, and 1 passenger lift." These estimates are made independently by different people, leading to inconsistency and variance across bids. The real opportunity is that AI can transform this process: by learning from hundreds of historical contracts across similar facility types (size, sector, age, geography), an AI model can predict asset quantities with high confidence, then map those assets to maintenance procedures and adjust for local legislation. This creates a feedback loop: every contract adds training data, making future estimates more accurate.</w:t>
      </w:r>
    </w:p>
    <w:p>
      <w:pPr>
        <w:pStyle w:val="Heading2"/>
      </w:pPr>
      <w:r>
        <w:t xml:space="preserve">2.3 Standards-Based Approach</w:t>
      </w:r>
    </w:p>
    <w:p>
      <w:pPr>
        <w:spacing w:after="200"/>
      </w:pPr>
      <w:r>
        <w:t xml:space="preserve">Two industry standards form the structural backbone of FM operations. NRM3 (New Rules of Measurement 3), published by the Royal Institution of Chartered Surveyors (RICS), provides a standardized framework for classifying what assets exist in a building. It creates a hierarchical taxonomy: Group Elements (8 categories), Elements (40+ subtypes), Sub-elements, and Components. SFG20 (Standard Maintenance Specification for Building Engineering Services), published by the Building Engineering Services Association (BESA), defines how to maintain each asset type: what procedures to perform, how often, what skills are required, how long each task takes, and what compliance standards apply.</w:t>
      </w:r>
    </w:p>
    <w:p>
      <w:pPr>
        <w:spacing w:after="200"/>
      </w:pPr>
      <w:r>
        <w:t xml:space="preserve">Together, NRM3 and SFG20 create a many-to-many relationship: one asset type (e.g., an Air Handling Unit) requires multiple maintenance procedures (filter replacement monthly, belt inspection quarterly, annual overhaul); conversely, one procedure (e.g., quarterly safety inspection) may apply to multiple asset types. This relationship is fundamental to the data model. By implementing this structure in a database rather than spreadsheets, MyFM can answer questions that are currently impossible to answer efficiently: Which assets are approaching end-of-life? What is the optimal skill mix for each facility type? How do we compare our maintenance approach across countries? What would it cost to standardize procedures globally?</w:t>
      </w:r>
    </w:p>
    <w:p>
      <w:pPr>
        <w:pStyle w:val="Heading1"/>
      </w:pPr>
      <w:r>
        <w:t xml:space="preserve">3. NRM3: New Rules of Measurement 3</w:t>
      </w:r>
    </w:p>
    <w:p>
      <w:pPr>
        <w:pStyle w:val="Heading2"/>
      </w:pPr>
      <w:r>
        <w:t xml:space="preserve">3.1 Overview and Purpose</w:t>
      </w:r>
    </w:p>
    <w:p>
      <w:pPr>
        <w:spacing w:after="200"/>
      </w:pPr>
      <w:r>
        <w:t xml:space="preserve">NRM3 is published by the Royal Institution of Chartered Surveyors (RICS) and provides a standard framework for order of cost estimating and cost planning for building maintenance works. The primary purpose is to establish a consistent, auditable, hierarchical classification structure for building elements and sub-elements so that anyone in the construction or FM industry — whether in the UK or internationally — can refer to an asset using the same terminology. NRM3 is hierarchical: Group Element (8 main categories) → Element (primary classifications) → Sub-element (secondary detail) → Component (specific items). This hierarchy allows both summary-level analysis ("What is the total maintenance cost for all services?") and detailed analysis ("Which specific HVAC sub-components are most expensive?").</w:t>
      </w:r>
    </w:p>
    <w:p>
      <w:pPr>
        <w:pStyle w:val="Heading2"/>
      </w:pPr>
      <w:r>
        <w:t xml:space="preserve">3.2 NRM3 Group Elements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3500"/>
        <w:gridCol w:w="3560"/>
      </w:tblGrid>
      <w:tr>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Group Element</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Code</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Description</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Example Sub-elements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Facilitating Works</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0</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Toxic/hazardous removal, temporary works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Asbestos removal, demolition, site preparation</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Substructure</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1</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Foundations, basement, ground beams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Piling, ground beams, basement construction</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Superstructure</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2</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Frame, floors, roof, stairs, walls, windows</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Structural frame, curtain walling, roof structure, staircases</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Internal Finishes</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3</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Wall/floor/ceiling finishes, partitioning</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Raised floors, suspended ceilings, partition walls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Fittings &amp; Furnishings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General/kitchen/special fittings</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Sanitary fittings, kitchen units, furniture, signage</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Services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All M&amp;E services</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HVAC, electrical, fire safety, lifts, BMS, security</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Prefabricated Buildings</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6</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Modular/temporary structures</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Portacabins, modular offices, temporary labs</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Work to Existing Buildings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7</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Repair, renovation, refurbishment</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Structural repairs, facade works, remediation</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External Works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8</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Site works, drainage, external services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Car parks, landscaping, external lighting, drainage</w:t>
            </w:r>
          </w:p>
        </w:tc>
      </w:tr>
    </w:tbl>
    <w:p>
      <w:pPr>
        <w:spacing w:after="200"/>
      </w:pPr>
      <w:r>
        <w:t xml:space="preserve"/>
      </w:r>
    </w:p>
    <w:p>
      <w:pPr>
        <w:pStyle w:val="Heading2"/>
      </w:pPr>
      <w:r>
        <w:t xml:space="preserve">3.3 Group Element 5: Services (Deep Dive)</w:t>
      </w:r>
    </w:p>
    <w:p>
      <w:pPr>
        <w:spacing w:after="200"/>
      </w:pPr>
      <w:r>
        <w:t xml:space="preserve">Group Element 5 (Services) is the most critical category for FM operations because it encompasses all mechanical, electrical, and building control systems. These are typically the highest-cost maintenance items and the most compliance-critical.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100"/>
        <w:gridCol w:w="3000"/>
        <w:gridCol w:w="3060"/>
      </w:tblGrid>
      <w:tr>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Code</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Element</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Sub-elements &amp; Systems</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FM Relevance</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5.1</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Sanitary Installations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Hot/cold water supply, drainage, water treatment</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Legionella risk, water hygiene, contamination prevention</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5.2</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Mechanical (HVAC)</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AHU, FCU, chiller, boiler, ventilation, gas systems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Largest maintenance cost driver, energy efficiency, occupant comfort</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5.3</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Electrical</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Mains distribution, UPS, emergency lighting, small power</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Safety-critical, regulatory compliance, business continuity</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5.4</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Lifts &amp; Conveyors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Passenger/goods lifts, escalators, moving walkways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LOLER compliance, safety inspection, downtime prevention</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5.5</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Fire Safety</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Fire alarm, sprinkler, suppression, extinguishers</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Life safety, insurance requirements, regulatory compliance</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5.6</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Communication</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Data/voice cabling, PA, IPTV</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Network uptime, IT-managed assets, integration challenges</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5.7</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Building Management</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BMS, controls, sensors, energy monitoring</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Energy optimization, IoT gateway, environmental control</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5.8</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Security</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CCTV, access control, intruder alarm, monitoring</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GDPR considerations, compliance with regulations, audit trails</w:t>
            </w:r>
          </w:p>
        </w:tc>
      </w:tr>
    </w:tbl>
    <w:p>
      <w:pPr>
        <w:spacing w:after="200"/>
      </w:pPr>
      <w:r>
        <w:t xml:space="preserve"/>
      </w:r>
    </w:p>
    <w:p>
      <w:pPr>
        <w:pStyle w:val="Heading2"/>
      </w:pPr>
      <w:r>
        <w:t xml:space="preserve">3.4 Worked Example: Banking Branch Asset Classification</w:t>
      </w:r>
    </w:p>
    <w:p>
      <w:pPr>
        <w:spacing w:after="200"/>
      </w:pPr>
      <w:r>
        <w:t xml:space="preserve">A typical 5,000 sqft banking branch illustrates how NRM3 classification works in practice. This facility type has high security requirements, public-facing operations, and mission-critical uptime demands.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100"/>
        <w:gridCol w:w="1100"/>
        <w:gridCol w:w="1700"/>
        <w:gridCol w:w="2660"/>
      </w:tblGrid>
      <w:tr>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NRM3 Code</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Asset Type</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Qty</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Criticality</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Notes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5.2.1</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Air Handling Unit (AHU)</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2</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A</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Main HVAC unit; high maintenance cost</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5.2.2</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Fan Coil Unit (FCU)</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8</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Zone conditioning; frequent filter changes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5.2.3</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Chiller</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1</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Cooling for AHU; mission-critical</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5.2.4</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Boiler</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A</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Heating; safety-critical inspection</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5.3.1</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Main Distribution Board (MDB)</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Electrical backbone; safety-critical</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5.3.2</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UPS (Uninterruptible Power Supply)</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A</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Business continuity; battery maintenance</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5.3.3</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Emergency Lighting</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24</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A</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Safety-critical; compliance testing</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5.4.1</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Passenger Lift</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A</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LOLER compliance; quarterly inspection</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5.5.1</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Fire Alarm Panel</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Life safety; monthly testing</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5.5.2</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Sprinkler System</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A</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Fire suppression; annual inspection</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5.7.1</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BMS Controller</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Environmental control; energy optimization</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5.8.1</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CCTV System</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8 cameras</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A</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Security; storage and bandwidth</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5.8.2</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Access Control</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6 doors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Physical security; credential management</w:t>
            </w:r>
          </w:p>
        </w:tc>
      </w:tr>
    </w:tbl>
    <w:p>
      <w:pPr>
        <w:spacing w:after="200"/>
      </w:pPr>
      <w:r>
        <w:t xml:space="preserve">This example shows how a real facility is decomposed into NRM3 classified assets, each with a quantity, criticality rating, and typical annual maintenance cost. The total of approximately £29,200 per year represents the baseline maintenance investment for this facility type.</w:t>
      </w:r>
    </w:p>
    <w:p>
      <w:pPr>
        <w:pStyle w:val="Heading2"/>
      </w:pPr>
      <w:r>
        <w:t xml:space="preserve">3.5 Worked Example: Life Sciences Laboratory</w:t>
      </w:r>
    </w:p>
    <w:p>
      <w:pPr>
        <w:spacing w:after="200"/>
      </w:pPr>
      <w:r>
        <w:t xml:space="preserve">A 10,000 sqft Life Sciences research laboratory demonstrates how NRM3 accommodates specialist equipment alongside standard building services. Life sciences facilities have regulatory compliance requirements (GxP, ISO 14644, FDA 21 CFR Part 211) that mandate specialized maintenance procedures.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100"/>
        <w:gridCol w:w="1100"/>
        <w:gridCol w:w="1700"/>
        <w:gridCol w:w="2660"/>
      </w:tblGrid>
      <w:tr>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NRM3 Code</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Asset Type</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Qty</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Criticality</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Notes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5.2.1</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Laboratory HVAC (specialized)</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A</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Fume hood exhaust, supply; GMP compliance</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5.2.5</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Fume Hoods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A</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Airflow testing, filter replacement; user safety</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5.2.6</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Gas Systems (N2, CO2, compressed air)</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 lines</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A</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Purity testing, regulator maintenance, safety</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5.5.3</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Emergency Showers &amp; Eye Wash</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4 stations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Monthly flushing, annual compliance testing</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5.2.7</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Autoclaves</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2</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A</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Sterilization validation, performance testing</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5.7.2</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Particle Counting &amp; Environmental Monitoring</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 sensors</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B</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Calibration, data logging for GMP records</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5.3.1</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Emergency Lighting</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20</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Lab-specific: redundancy for critical work areas</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5.1.1</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Hot/cold water &amp; DI water systems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Water quality testing, contamination prevention</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5.3.2</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UPS &amp; Backup Power</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1</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Data integrity, equipment protection</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5.5.1</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Fire Detection &amp; Suppression</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1</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Lab-specific: non-damaging (FM-200 or CO2)</w:t>
            </w:r>
          </w:p>
        </w:tc>
      </w:tr>
    </w:tbl>
    <w:p>
      <w:pPr>
        <w:spacing w:after="200"/>
      </w:pPr>
      <w:r>
        <w:t xml:space="preserve">This example shows specialist assets (fume hoods, autoclaves, emergency showers) added to standard building services. The total annual maintenance cost (£72,000-£90,000) is significantly higher than banking due to the intensity of specialist equipment maintenance and the regulatory documentation burden.</w:t>
      </w:r>
    </w:p>
    <w:p>
      <w:r>
        <w:br w:type="page"/>
      </w:r>
    </w:p>
    <w:p>
      <w:pPr>
        <w:pStyle w:val="Heading1"/>
      </w:pPr>
      <w:r>
        <w:t xml:space="preserve">4. SFG20: Standard Maintenance Specification</w:t>
      </w:r>
    </w:p>
    <w:p>
      <w:pPr>
        <w:pStyle w:val="Heading2"/>
      </w:pPr>
      <w:r>
        <w:t xml:space="preserve">4.1 Overview and Purpose</w:t>
      </w:r>
    </w:p>
    <w:p>
      <w:pPr>
        <w:spacing w:after="200"/>
      </w:pPr>
      <w:r>
        <w:t xml:space="preserve">SFG20 is published by the Building Engineering Services Association (BESA) and is the industry-standard library of maintenance procedures for building engineering services. While NRM3 answers "what assets exist," SFG20 answers "how do we maintain them." SFG20 defines what maintenance to do, how often, with what skills, and for how long. It is the de facto standard used by FM companies globally for planned preventive maintenance (PPM) scheduling, compliance reporting, and workforce planning.</w:t>
      </w:r>
    </w:p>
    <w:p>
      <w:pPr>
        <w:spacing w:after="200"/>
      </w:pPr>
      <w:r>
        <w:t xml:space="preserve">SFG20 contains over 1,000 maintenance task schedules covering all building services disciplines (mechanical, electrical, fire, lifts, BMS, security). Each schedule is independently documented and can be combined to form a comprehensive maintenance program for any facility. The standard is structured hierarchically, allowing both summary-level planning ("What is the total maintenance workload for this building?") and detailed scheduling ("What are the exact tasks for the boiler this quarter?").</w:t>
      </w:r>
    </w:p>
    <w:p>
      <w:pPr>
        <w:pStyle w:val="Heading2"/>
      </w:pPr>
      <w:r>
        <w:t xml:space="preserve">4.2 SFG20 Schedule Structure</w:t>
      </w:r>
    </w:p>
    <w:p>
      <w:pPr>
        <w:spacing w:after="200"/>
      </w:pPr>
      <w:r>
        <w:t xml:space="preserve">Each SFG20 schedule follows a consistent structure that defines all critical parameters for execution and compliance.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2450"/>
        <w:gridCol w:w="2410"/>
      </w:tblGrid>
      <w:tr>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Field</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Description</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Data Type</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Example</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Schedule Code</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Unique identifier for this procedure</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String</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SFG20-5.2.1-01</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Task Description</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What to do, step-by-step instructions</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Text</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Filter inspection and replacement</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Frequency</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How often: monthly, quarterly, etc.</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String</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Monthly</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Skill Category</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Who does it, required certification level</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String</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HVAC Technician (Level 2)</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Estimated Duration</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How long in hours:minutes</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Time</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2 hours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Priority</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Criticality for scheduling</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String</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High</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Tools/Materials</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Equipment and consumables needed</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Text</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Filter media, pressure gauge, ductometer</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Compliance Reference</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Regulatory link or standard</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String</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Building Regs Part L, ASHRAE 62.1</w:t>
            </w:r>
          </w:p>
        </w:tc>
      </w:tr>
    </w:tbl>
    <w:p>
      <w:pPr>
        <w:spacing w:after="200"/>
      </w:pPr>
      <w:r>
        <w:t xml:space="preserve"/>
      </w:r>
    </w:p>
    <w:p>
      <w:pPr>
        <w:pStyle w:val="Heading2"/>
      </w:pPr>
      <w:r>
        <w:t xml:space="preserve">4.3 Worked Example: AHU Maintenance Schedule</w:t>
      </w:r>
    </w:p>
    <w:p>
      <w:pPr>
        <w:spacing w:after="200"/>
      </w:pPr>
      <w:r>
        <w:t xml:space="preserve">An Air Handling Unit (AHU) is one of the most important assets in any facility with mechanical ventilation. It requires multiple maintenance procedures at different frequencies. Here is the full SFG20 maintenance profile for a standard AHU: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1400"/>
        <w:gridCol w:w="1400"/>
        <w:gridCol w:w="1300"/>
        <w:gridCol w:w="1260"/>
      </w:tblGrid>
      <w:tr>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Code</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Procedure</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Frequency</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Skill</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Duration</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Priority</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SFG20-5.2.1-01</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Filter inspection &amp; replacement</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Monthly</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HVAC Tech</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2h</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High</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SFG20-5.2.1-02</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Belt &amp; drive inspection</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Quarterly</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HVAC Tech</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1.5h</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High</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SFG20-5.2.1-03</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Annual overhaul &amp; performance test</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Annual</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Senior HVAC Engineer</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8h</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Critical</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SFG20-5.2.1-04</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Ductwork cleaning &amp; debris removal</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2 Yearly</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Specialist Contractor</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16h</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Medium</w:t>
            </w:r>
          </w:p>
        </w:tc>
      </w:tr>
    </w:tbl>
    <w:p>
      <w:pPr>
        <w:spacing w:after="200"/>
      </w:pPr>
      <w:r>
        <w:t xml:space="preserve">Total annual maintenance hours for one AHU: (2 months × 12) + (1.5 hours × 4 quarters) + 8 (annual) + (16/2) = 24 + 6 + 8 + 8 = 46 hours per AHU per year. For a typical large office building with 200 AHUs across multiple floors and zones, this equates to 9,200 hours per year, or roughly 5-6 full-time technicians dedicated to AHU maintenance alone.</w:t>
      </w:r>
    </w:p>
    <w:p>
      <w:pPr>
        <w:pStyle w:val="Heading2"/>
      </w:pPr>
      <w:r>
        <w:t xml:space="preserve">4.4 Country-Specific Legislation Variants</w:t>
      </w:r>
    </w:p>
    <w:p>
      <w:pPr>
        <w:spacing w:after="200"/>
      </w:pPr>
      <w:r>
        <w:t xml:space="preserve">SFG20 is UK-centric in its baseline frequencies and compliance references. When MyFM operates globally, each country's legislation may modify those frequencies, add mandatory requirements, or specify different certification standards. This creates the concept of "country variants" — localized overrides of the master SFG20 schedule.</w:t>
      </w:r>
    </w:p>
    <w:p>
      <w:pPr>
        <w:spacing w:after="200"/>
      </w:pPr>
      <w:r>
        <w:t xml:space="preserve">For example, AHU filter replacement baseline in SFG20 is monthly for UK. The Netherlands (NEN 2656) requires bi-monthly intervals and additional IAQ (Indoor Air Quality) monitoring. The US (ASHRAE 62.1) requires monthly replacement plus annual airflow balancing. Germany (DIN 1946-4) requires quarterly replacement plus mandatory microbiological testing. Managing these variants manually across dozens of procedures and dozens of countries becomes prohibitively complex.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800"/>
        <w:gridCol w:w="1800"/>
        <w:gridCol w:w="2200"/>
        <w:gridCol w:w="1600"/>
        <w:gridCol w:w="760"/>
      </w:tblGrid>
      <w:tr>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Country</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Legislation</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Frequency Change</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Additional Requirements</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Status</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Validated</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UK</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Building Regs Part L</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Monthly (baseline)</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Energy audit every 5 years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Active</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Yes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Netherlands</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NEN 2656</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Bi-monthly</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IAQ monitoring required</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Active</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Yes</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US</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ASHRAE 62.1</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Monthly</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Airflow balancing annually</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Active</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Pending</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Germany</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DIN 1946-4</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Quarterly</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Microbiological testing required</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Active</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Yes</w:t>
            </w:r>
          </w:p>
        </w:tc>
      </w:tr>
    </w:tbl>
    <w:p>
      <w:pPr>
        <w:spacing w:after="200"/>
      </w:pPr>
      <w:r>
        <w:t xml:space="preserve">The workflow is: Master SFG20 schedule → Country Team validation against local legislation → Amendments feed back to Master with approval workflow. This requires structured data, audit trail, and conflict resolution mechanisms — all impossible in spreadsheets.</w:t>
      </w:r>
    </w:p>
    <w:p>
      <w:r>
        <w:br w:type="page"/>
      </w:r>
    </w:p>
    <w:p>
      <w:pPr>
        <w:pStyle w:val="Heading1"/>
      </w:pPr>
      <w:r>
        <w:t xml:space="preserve">5. Sector Analysis: Banking</w:t>
      </w:r>
    </w:p>
    <w:p>
      <w:pPr>
        <w:pStyle w:val="Heading2"/>
      </w:pPr>
      <w:r>
        <w:t xml:space="preserve">5.1 Banking Facility Types</w:t>
      </w:r>
    </w:p>
    <w:p>
      <w:pPr>
        <w:spacing w:after="200"/>
      </w:pPr>
      <w:r>
        <w:t xml:space="preserve">Banking FM covers three distinct facility types, each with different asset profiles and maintenance intensity. Retail Branches (2,000-10,000 sqft) are customer-facing facilities with high security requirements, limited back-office space, and moderate maintenance needs. Data Centres (mission-critical, 5,000-50,000 sqft) house servers and networking equipment with extreme power density, requiring redundant cooling, power, and fire suppression — maintenance is 2-3x more intensive and more expensive than office space. Headquarters/Office facilities (100,000+ sqft) are large-scale multi-tenant buildings with standard office infrastructure but subject to corporate standards and SLAs.</w:t>
      </w:r>
    </w:p>
    <w:p>
      <w:pPr>
        <w:pStyle w:val="Heading2"/>
      </w:pPr>
      <w:r>
        <w:t xml:space="preserve">5.2 Banking Branch — Detailed Asset Profile</w:t>
      </w:r>
    </w:p>
    <w:p>
      <w:pPr>
        <w:spacing w:after="200"/>
      </w:pPr>
      <w:r>
        <w:t xml:space="preserve">A typical 5,000 sqft banking branch represents the retail branch profile. Annual maintenance costs average approximately £29,200 distributed across HVAC, electrical, fire, lifts, and security systems.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100"/>
        <w:gridCol w:w="1100"/>
        <w:gridCol w:w="1500"/>
        <w:gridCol w:w="1500"/>
        <w:gridCol w:w="1560"/>
      </w:tblGrid>
      <w:tr>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NRM3 Code</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Asset</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Qty</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Annual Cost</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Key Procedures</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Criticality</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5.2.1</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Air Handling Unit</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2</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£3,600</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Monthly filter, annual overhaul</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5.2.2</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Fan Coil Unit</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8</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£1,200</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Quarterly filter, annual clean</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5.2.3</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Chiller</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£2,200</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Annual inspection, refrigerant check</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5.2.4</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Boiler</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£1,800</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Annual service, efficiency test</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A</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5.3.1</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Main Distribution Board</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£900</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Annual electrical safety check</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5.3.2</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UPS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£4,500</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Quarterly battery test, annual service</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5.3.3</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Emergency Lighting</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24</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£1,200</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Monthly test, annual service</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A</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5.4.1</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Passenger Lift</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£6,000</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Quarterly LOLER, annual overhaul</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A</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5.5.1</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Fire Alarm Panel</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1</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£2,400</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Monthly test, annual service</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A</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5.5.2</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Sprinkler System</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1</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£3,200</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Annual inspection, quarterly test</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A</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5.7.1</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BMS Controller</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1</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£2,000</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Annual calibration, software updates</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B</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5.8.1</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CCTV System</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8 cameras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£1,800</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Quarterly maintenance, annual upgrade</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A</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5.8.2</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Access Control</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6 doors</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£2,400</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Quarterly battery, annual audit</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w:t>
            </w:r>
          </w:p>
        </w:tc>
      </w:tr>
    </w:tbl>
    <w:p>
      <w:pPr>
        <w:spacing w:after="200"/>
      </w:pPr>
      <w:r>
        <w:t xml:space="preserve"/>
      </w:r>
    </w:p>
    <w:p>
      <w:pPr>
        <w:pStyle w:val="Heading2"/>
      </w:pPr>
      <w:r>
        <w:t xml:space="preserve">5.3 Banking Data Centre — Critical Infrastructure</w:t>
      </w:r>
    </w:p>
    <w:p>
      <w:pPr>
        <w:spacing w:after="200"/>
      </w:pPr>
      <w:r>
        <w:t xml:space="preserve">Data centres represent the most maintenance-intensive banking facility type. They operate 24/7/365, have minimal tolerance for downtime, and require redundant systems for all critical functions. Asset counts are dominated by power delivery and cooling infrastructure. UPS (Uninterruptible Power Supply), diesel generators, precision computer room air handling, in-row cooling, and fire suppression using specialized gases (FM-200, Novec) are all Criticality A assets. Environmental monitoring (temperature, humidity, particulate, water leak detection) is continuous. Estimated annual maintenance costs for a mid-size data centre range from £180,000 to £220,000, with power and cooling accounting for approximately 60% of the total.</w:t>
      </w:r>
    </w:p>
    <w:p>
      <w:pPr>
        <w:pStyle w:val="Heading2"/>
      </w:pPr>
      <w:r>
        <w:t xml:space="preserve">5.4 Banking-Specific Compliance</w:t>
      </w:r>
    </w:p>
    <w:p>
      <w:pPr>
        <w:spacing w:after="200"/>
      </w:pPr>
      <w:r>
        <w:t xml:space="preserve">Banking is one of the most heavily regulated sectors. PCI-DSS (Payment Card Industry Data Security Standard) mandates physical security requirements: surveillance coverage, access control, facility integrity testing. FCA (Financial Conduct Authority) Operational Resilience requirements mandate that critical operational functions can recover within defined RTO (Recovery Time Objective) windows — this translates to maintenance procedures that ensure business continuity. Basel III operational risk framework requires documentation of all facility-related risks and mitigation controls. These regulatory pressures mean banking FM must maintain comprehensive audit trails, evidence of compliance, and documented procedures for every critical asset.</w:t>
      </w:r>
    </w:p>
    <w:p>
      <w:r>
        <w:br w:type="page"/>
      </w:r>
    </w:p>
    <w:p>
      <w:pPr>
        <w:pStyle w:val="Heading1"/>
      </w:pPr>
      <w:r>
        <w:t xml:space="preserve">6. Sector Analysis: Life Sciences</w:t>
      </w:r>
    </w:p>
    <w:p>
      <w:pPr>
        <w:pStyle w:val="Heading2"/>
      </w:pPr>
      <w:r>
        <w:t xml:space="preserve">6.1 Life Sciences Facility Types</w:t>
      </w:r>
    </w:p>
    <w:p>
      <w:pPr>
        <w:spacing w:after="200"/>
      </w:pPr>
      <w:r>
        <w:t xml:space="preserve">Life Sciences FM covers three main facility types with increasing regulatory complexity. Research Laboratories (BSL-2/3 biosafety levels) conduct non-manufacturing research with potential biological hazards, requiring fume hoods, gas systems, emergency showers, and controlled access. Cleanrooms (ISO Class 5-8 rated) provide particle-controlled environments for manufacturing or sensitive work, with HEPA filtration and environmental monitoring. Manufacturing/GMP (Good Manufacturing Practice) facilities produce pharmaceutical or medical device products and are subject to FDA validation, batch record requirements, and continuous compliance documentation. Regulatory environment is the key differentiator — GxP (GLP, GCP, GMP) compliance drives everything: every maintenance action is documented, validated, and auditable.</w:t>
      </w:r>
    </w:p>
    <w:p>
      <w:pPr>
        <w:pStyle w:val="Heading2"/>
      </w:pPr>
      <w:r>
        <w:t xml:space="preserve">6.2 Laboratory — Detailed Asset Profile</w:t>
      </w:r>
    </w:p>
    <w:p>
      <w:pPr>
        <w:spacing w:after="200"/>
      </w:pPr>
      <w:r>
        <w:t xml:space="preserve">A 10,000 sqft Life Sciences research laboratory includes specialist equipment (fume hoods, autoclaves, gas systems, emergency showers) plus standard building services. Annual maintenance costs range from £72,000 to £90,000.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100"/>
        <w:gridCol w:w="1100"/>
        <w:gridCol w:w="1500"/>
        <w:gridCol w:w="1500"/>
        <w:gridCol w:w="1560"/>
      </w:tblGrid>
      <w:tr>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NRM3 Code</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Asset</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Qty</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Annual Cost</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Key Procedures</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Criticality</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5.2.1</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Lab HVAC (specialized)</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1</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£12,000</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Monthly filter, quarterly calibration</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A</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5.2.5</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Fume Hoods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£18,000</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Quarterly airflow test, annual certification</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5.2.6</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Gas Systems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 lines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£6,000</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Monthly pressure check, annual purity test</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5.5.3</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Emergency Showers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 stations</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£2,000</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Monthly flushing, annual compliance</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A</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5.2.7</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Autoclaves</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2</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£8,000</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Annual validation, quarterly performance test</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A</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5.7.2</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Particle Monitoring</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 sensors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£4,000</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Monthly calibration, continuous logging</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B</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5.3.1</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Emergency Lighting</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20</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£1,200</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Monthly test, annual service</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5.1.1</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Water Systems (DI)</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2</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£5,000</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Monthly testing, annual replacement</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5.3.2</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UPS &amp; Backup Power</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£4,800</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Quarterly battery test, annual service</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A</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5.5.1</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Fire Suppression (FM-200)</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1</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£3,600</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Annual inspection, 5-yearly replacement</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w:t>
            </w:r>
          </w:p>
        </w:tc>
      </w:tr>
    </w:tbl>
    <w:p>
      <w:pPr>
        <w:spacing w:after="200"/>
      </w:pPr>
      <w:r>
        <w:t xml:space="preserve"/>
      </w:r>
    </w:p>
    <w:p>
      <w:pPr>
        <w:pStyle w:val="Heading2"/>
      </w:pPr>
      <w:r>
        <w:t xml:space="preserve">6.3 Cleanroom — Controlled Environment</w:t>
      </w:r>
    </w:p>
    <w:p>
      <w:pPr>
        <w:spacing w:after="200"/>
      </w:pPr>
      <w:r>
        <w:t xml:space="preserve">Cleanrooms require continuous HEPA filtration, positive or negative pressure cascades between zones, real-time particle monitoring, and tight temperature/humidity control (typically ±2°C, ±5% RH). Maintenance is more frequent and requires specialist skills (IES certified technicians). Procedures are more costly because any maintenance action risks contaminating the controlled environment. Annual maintenance costs for a 5,000 sqft ISO Class 6-7 cleanroom range from £125,000 to £160,000, with HVAC and filtration accounting for 50-60% of the total.</w:t>
      </w:r>
    </w:p>
    <w:p>
      <w:pPr>
        <w:pStyle w:val="Heading2"/>
      </w:pPr>
      <w:r>
        <w:t xml:space="preserve">6.4 Life Sciences Compliance</w:t>
      </w:r>
    </w:p>
    <w:p>
      <w:pPr>
        <w:spacing w:after="200"/>
      </w:pPr>
      <w:r>
        <w:t xml:space="preserve">Life Sciences is the most heavily regulated FM sector. GMP (Good Manufacturing Practice) per FDA 21 CFR Part 211 and EU Annex 1 mandates that all manufacturing processes, including facility maintenance, are documented and validated. ISO 14644 (Cleanroom standards) requires documented environmental controls and monitoring. MHRA (UK Medicines and Healthcare Products Regulatory Authority) standards align with FDA and EU requirements. Every maintenance procedure must be preceded by a validation study proving that the maintenance method does not contaminate the product or degrade facility performance. Change control is mandatory — any deviation from a validated procedure requires a formal deviation report, investigation, and re-validation. This creates a compliance overhead that far exceeds other sectors.</w:t>
      </w:r>
    </w:p>
    <w:p>
      <w:r>
        <w:br w:type="page"/>
      </w:r>
    </w:p>
    <w:p>
      <w:pPr>
        <w:pStyle w:val="Heading1"/>
      </w:pPr>
      <w:r>
        <w:t xml:space="preserve">7. Proposed Data Model</w:t>
      </w:r>
    </w:p>
    <w:p>
      <w:pPr>
        <w:pStyle w:val="Heading2"/>
      </w:pPr>
      <w:r>
        <w:t xml:space="preserve">7.1 Entity Overview</w:t>
      </w:r>
    </w:p>
    <w:p>
      <w:pPr>
        <w:spacing w:after="200"/>
      </w:pPr>
      <w:r>
        <w:t xml:space="preserve">The core entities of the MyFM data model are: Asset (a physical item classified by NRM3, with quantity, condition, and criticality), Procedure (a maintenance task from SFG20, with frequency, skill requirement, and duration), Country_Variant (a legislation-driven override of a procedure's frequency or requirements), Facility (a building with type, size, location), Client (an organization), and Bid (a commercial proposal for a new contract).</w:t>
      </w:r>
    </w:p>
    <w:p>
      <w:pPr>
        <w:pStyle w:val="Heading2"/>
      </w:pPr>
      <w:r>
        <w:t xml:space="preserve">7.2 Entity Relationship Diagram (Textual)</w:t>
      </w:r>
    </w:p>
    <w:p>
      <w:pPr>
        <w:pStyle w:val="ListParagraph"/>
        <w:numPr>
          <w:ilvl w:val="0"/>
          <w:numId w:val="2"/>
        </w:numPr>
        <w:spacing w:after="100"/>
      </w:pPr>
      <w:r>
        <w:t xml:space="preserve">Client (1) to (many) Facilities — Each organization may manage multiple buildings.</w:t>
      </w:r>
    </w:p>
    <w:p>
      <w:pPr>
        <w:pStyle w:val="ListParagraph"/>
        <w:numPr>
          <w:ilvl w:val="0"/>
          <w:numId w:val="2"/>
        </w:numPr>
        <w:spacing w:after="100"/>
      </w:pPr>
      <w:r>
        <w:t xml:space="preserve">Facility (1) to (many) Facility_Assets — A building contains many physical assets; the junction tracks quantity and condition state.</w:t>
      </w:r>
    </w:p>
    <w:p>
      <w:pPr>
        <w:pStyle w:val="ListParagraph"/>
        <w:numPr>
          <w:ilvl w:val="0"/>
          <w:numId w:val="2"/>
        </w:numPr>
        <w:spacing w:after="100"/>
      </w:pPr>
      <w:r>
        <w:t xml:space="preserve">Asset (many) to (many) Procedures (via Asset_Procedure junction) — One asset type may require multiple maintenance tasks; one procedure may apply to multiple asset types.</w:t>
      </w:r>
    </w:p>
    <w:p>
      <w:pPr>
        <w:pStyle w:val="ListParagraph"/>
        <w:numPr>
          <w:ilvl w:val="0"/>
          <w:numId w:val="2"/>
        </w:numPr>
        <w:spacing w:after="100"/>
      </w:pPr>
      <w:r>
        <w:t xml:space="preserve">Procedure (1) to (many) Country_Variants — Each procedure has a baseline SFG20 definition plus country-specific overrides.</w:t>
      </w:r>
    </w:p>
    <w:p>
      <w:pPr>
        <w:pStyle w:val="ListParagraph"/>
        <w:numPr>
          <w:ilvl w:val="0"/>
          <w:numId w:val="2"/>
        </w:numPr>
        <w:spacing w:after="200"/>
      </w:pPr>
      <w:r>
        <w:t xml:space="preserve">Facility (1) to (many) Bids — Each facility is associated with one or more commercial bid documents, which aggregate asset and procedure data with pricing.</w:t>
      </w:r>
    </w:p>
    <w:p>
      <w:pPr>
        <w:pStyle w:val="Heading2"/>
      </w:pPr>
      <w:r>
        <w:t xml:space="preserve">7.3 Key Entity Attributes</w:t>
      </w:r>
    </w:p>
    <w:p>
      <w:pPr>
        <w:spacing w:after="200"/>
      </w:pPr>
      <w:r>
        <w:t xml:space="preserve">Asset Entity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5360"/>
      </w:tblGrid>
      <w:tr>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Field Name</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Data Type</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Description</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asset_id</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UUID</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Unique identifier</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nrm3_code</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String</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NRM3 classification code (e.g., 5.2.1.3)</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asset_name</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String</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Common name (e.g., Air Handling Unit)</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asset_description</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Text</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Detailed description of the asset</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criticality</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Enum: A/B/C</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Criticality for operations (A = mission-critical)</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condition_grade</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Enum: Good/Fair/Poor</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Current physical condition</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lifespan_years</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Integer</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Expected useful life in years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replacement_cost</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Decimal (£)</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Estimated capital cost to replace</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applicable_facility_types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Array of strings</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Which facility types use this asset</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created_date</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DateTime</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Audit trail: when added to system</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last_updated</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DateTime</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Audit trail: last modification date</w:t>
            </w:r>
          </w:p>
        </w:tc>
      </w:tr>
    </w:tbl>
    <w:p>
      <w:pPr>
        <w:spacing w:after="200"/>
      </w:pPr>
      <w:r>
        <w:t xml:space="preserve"/>
      </w:r>
    </w:p>
    <w:p>
      <w:pPr>
        <w:spacing w:after="200"/>
      </w:pPr>
      <w:r>
        <w:t xml:space="preserve">Procedure Entity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5360"/>
      </w:tblGrid>
      <w:tr>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Field Name</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Data Type</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Description</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procedure_id</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UUID</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Unique identifier for this procedure</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sfg20_code</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String</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SFG20 standard code (e.g., SFG20-5.2.1-01)</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task_description</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Text</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Step-by-step procedure instructions</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frequency</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String</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How often: Monthly, Quarterly, Annual, etc.</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skill_category</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String</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Required technician level (e.g., HVAC Tech Level 2)</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estimated_duration_hours</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Decimal</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How long the task takes in hours</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priority</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Enum: Low/Medium/High/Critical</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Importance for scheduling</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compliance_reference</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String</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Regulatory standard (Building Regs, ISO, ASHRAE, etc.)</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tools_materials_required</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Text</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List of equipment and consumables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version</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Integer</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Version number for change tracking</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effective_date</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Date</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When this procedure version became active</w:t>
            </w:r>
          </w:p>
        </w:tc>
      </w:tr>
    </w:tbl>
    <w:p>
      <w:pPr>
        <w:spacing w:after="200"/>
      </w:pPr>
      <w:r>
        <w:t xml:space="preserve"/>
      </w:r>
    </w:p>
    <w:p>
      <w:pPr>
        <w:spacing w:after="200"/>
      </w:pPr>
      <w:r>
        <w:t xml:space="preserve">Country_Variant Entity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5360"/>
      </w:tblGrid>
      <w:tr>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Field Name</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Data Type</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Description</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variant_id</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UUID</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Unique identifier for this variant</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procedure_id</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UUID (Foreign Key)</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References the master SFG20 procedure</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country_code</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String</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ISO country code (UK, NL, US, DE, etc.)</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country_legislation</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String</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Regulatory standard in this country (DIN, NEN, ASHRAE, etc.)</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modified_frequency</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String</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Overridden frequency if different from baseline</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additional_requirements</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Text</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Extra tasks or tests required by local law</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validation_status</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Enum: Pending/Review/Validated/Rejected</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Approval status for this variant</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validator_name</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String</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Name of person who approved/rejected</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validated_date</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DateTime</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When validation occurred</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notes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Text</w:t>
            </w:r>
          </w:p>
        </w:tc>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Rationale or comments about the variant</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sz w:val="22"/>
                <w:szCs w:val="22"/>
              </w:rPr>
              <w:t xml:space="preserve">effective_date</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Date</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When this variant became active</w:t>
            </w:r>
          </w:p>
        </w:tc>
      </w:tr>
    </w:tbl>
    <w:p>
      <w:pPr>
        <w:spacing w:after="200"/>
      </w:pPr>
      <w:r>
        <w:t xml:space="preserve"/>
      </w:r>
    </w:p>
    <w:p>
      <w:pPr>
        <w:pStyle w:val="Heading2"/>
      </w:pPr>
      <w:r>
        <w:t xml:space="preserve">7.4 Data Model Principles</w:t>
      </w:r>
    </w:p>
    <w:p>
      <w:pPr>
        <w:pStyle w:val="ListParagraph"/>
        <w:numPr>
          <w:ilvl w:val="0"/>
          <w:numId w:val="2"/>
        </w:numPr>
        <w:spacing w:after="100"/>
      </w:pPr>
      <w:r>
        <w:t xml:space="preserve">Master-Variant Pattern: A global master definition (SFG20 baseline) with country-specific variants. Changes to the master flow to all countries; country variants override the master locally.</w:t>
      </w:r>
    </w:p>
    <w:p>
      <w:pPr>
        <w:pStyle w:val="ListParagraph"/>
        <w:numPr>
          <w:ilvl w:val="0"/>
          <w:numId w:val="2"/>
        </w:numPr>
        <w:spacing w:after="100"/>
      </w:pPr>
      <w:r>
        <w:t xml:space="preserve">Many-to-Many Asset-Procedure Links: One asset type may require multiple procedures; one procedure may apply to multiple asset types. This many-to-many relationship is essential and must be explicit in the database.</w:t>
      </w:r>
    </w:p>
    <w:p>
      <w:pPr>
        <w:pStyle w:val="ListParagraph"/>
        <w:numPr>
          <w:ilvl w:val="0"/>
          <w:numId w:val="2"/>
        </w:numPr>
        <w:spacing w:after="100"/>
      </w:pPr>
      <w:r>
        <w:t xml:space="preserve">Facility-Type-Based Asset Templates: Rather than defining assets from scratch for each facility, create templates by facility type. When winning a new banking branch contract, instantiate the Banking Branch template and adjust quantities by building size.</w:t>
      </w:r>
    </w:p>
    <w:p>
      <w:pPr>
        <w:pStyle w:val="ListParagraph"/>
        <w:numPr>
          <w:ilvl w:val="0"/>
          <w:numId w:val="2"/>
        </w:numPr>
        <w:spacing w:after="100"/>
      </w:pPr>
      <w:r>
        <w:t xml:space="preserve">Audit Trail on All Changes: Every modification to an asset, procedure, or variant must be logged with timestamp, user, and change reason.</w:t>
      </w:r>
    </w:p>
    <w:p>
      <w:pPr>
        <w:pStyle w:val="ListParagraph"/>
        <w:numPr>
          <w:ilvl w:val="0"/>
          <w:numId w:val="2"/>
        </w:numPr>
        <w:spacing w:after="200"/>
      </w:pPr>
      <w:r>
        <w:t xml:space="preserve">Version Control on Procedures: SFG20 procedures evolve as standards are updated or legislation changes. Maintain version history so historical bids can be traced to the procedure version used.</w:t>
      </w:r>
    </w:p>
    <w:p>
      <w:r>
        <w:br w:type="page"/>
      </w:r>
    </w:p>
    <w:p>
      <w:pPr>
        <w:pStyle w:val="Heading1"/>
      </w:pPr>
      <w:r>
        <w:t xml:space="preserve">8. Business Queries for Bid Improvement</w:t>
      </w:r>
    </w:p>
    <w:p>
      <w:pPr>
        <w:pStyle w:val="Heading2"/>
      </w:pPr>
      <w:r>
        <w:t xml:space="preserve">8.1 Overview</w:t>
      </w:r>
    </w:p>
    <w:p>
      <w:pPr>
        <w:spacing w:after="200"/>
      </w:pPr>
      <w:r>
        <w:t xml:space="preserve">The true power of structured data is in the questions it enables. When NRM3 assets are linked to SFG20 procedures with country variants, the system can answer questions that currently require days of manual spreadsheet work. The following sections present example queries organized by business purpose: bid estimation, operational efficiency, margin improvement, and compliance tracking.</w:t>
      </w:r>
    </w:p>
    <w:p>
      <w:pPr>
        <w:pStyle w:val="Heading2"/>
      </w:pPr>
      <w:r>
        <w:t xml:space="preserve">8.2 Bid Estimation Queries</w:t>
      </w:r>
    </w:p>
    <w:p>
      <w:pPr>
        <w:pStyle w:val="ListParagraph"/>
        <w:numPr>
          <w:ilvl w:val="0"/>
          <w:numId w:val="2"/>
        </w:numPr>
        <w:spacing w:after="100"/>
      </w:pPr>
      <w:r>
        <w:t xml:space="preserve">For a 5,000 sqft Banking Branch in the Netherlands, estimate total assets and annual maintenance cost. System looks up Banking Branch asset template, adjusts quantities by sqft/density, maps each asset to SFG20 procedures, applies NL country variants, calculates total hours and cost. Result: asset count, cost breakdown by service category, annual labor hours.</w:t>
      </w:r>
    </w:p>
    <w:p>
      <w:pPr>
        <w:pStyle w:val="ListParagraph"/>
        <w:numPr>
          <w:ilvl w:val="0"/>
          <w:numId w:val="2"/>
        </w:numPr>
        <w:spacing w:after="100"/>
      </w:pPr>
      <w:r>
        <w:t xml:space="preserve">What is the average maintenance cost per sqft for Life Sciences Labs across our portfolio? Aggregates actual costs across all lab contracts, normalizes by sqft, shows distribution (median, quartiles). Identifies high and low outliers for investigation.</w:t>
      </w:r>
    </w:p>
    <w:p>
      <w:pPr>
        <w:pStyle w:val="ListParagraph"/>
        <w:numPr>
          <w:ilvl w:val="0"/>
          <w:numId w:val="2"/>
        </w:numPr>
        <w:spacing w:after="100"/>
      </w:pPr>
      <w:r>
        <w:t xml:space="preserve">Which asset types have the highest variance between estimated and actual maintenance costs? For each asset class, compares initial bid estimate with actual costs incurred over 12-24 months. Identifies where the estimation model needs recalibration (e.g., if AHU maintenance is consistently 20% higher than estimated, adjust future estimates).</w:t>
      </w:r>
    </w:p>
    <w:p>
      <w:pPr>
        <w:pStyle w:val="ListParagraph"/>
        <w:numPr>
          <w:ilvl w:val="0"/>
          <w:numId w:val="2"/>
        </w:numPr>
        <w:spacing w:after="100"/>
      </w:pPr>
      <w:r>
        <w:t xml:space="preserve">For this new bid, how does our proposed price compare to the last 10 similar facilities? Historical benchmarking for competitive pricing. Shows what price per sqft we charged for similar facility types in similar geographies. Highlights opportunities to improve margins or identify if the bid is priced competitively.</w:t>
      </w:r>
    </w:p>
    <w:p>
      <w:pPr>
        <w:pStyle w:val="ListParagraph"/>
        <w:numPr>
          <w:ilvl w:val="0"/>
          <w:numId w:val="2"/>
        </w:numPr>
        <w:spacing w:after="200"/>
      </w:pPr>
      <w:r>
        <w:t xml:space="preserve">What additional procedures are required if we mobilize in Germany vs UK? Country variant comparison for mobilization planning. Shows exactly which procedures change, how frequencies differ, and the cost impact of compliance with German legislation.</w:t>
      </w:r>
    </w:p>
    <w:p>
      <w:pPr>
        <w:pStyle w:val="Heading2"/>
      </w:pPr>
      <w:r>
        <w:t xml:space="preserve">8.3 Operational Efficiency Queries</w:t>
      </w:r>
    </w:p>
    <w:p>
      <w:pPr>
        <w:pStyle w:val="ListParagraph"/>
        <w:numPr>
          <w:ilvl w:val="0"/>
          <w:numId w:val="2"/>
        </w:numPr>
        <w:spacing w:after="100"/>
      </w:pPr>
      <w:r>
        <w:t xml:space="preserve">Which assets across the portfolio are approaching end of life in the next 24 months? Filters assets by lifespan and current age. Surfaces capital replacement planning needs. Helps with procurement and budget forecasting.</w:t>
      </w:r>
    </w:p>
    <w:p>
      <w:pPr>
        <w:pStyle w:val="ListParagraph"/>
        <w:numPr>
          <w:ilvl w:val="0"/>
          <w:numId w:val="2"/>
        </w:numPr>
        <w:spacing w:after="100"/>
      </w:pPr>
      <w:r>
        <w:t xml:space="preserve">What is the optimal skill mix for a banking data centre maintenance team? Maps all procedures required for the facility to their required skill categories. Shows distribution: how many HVAC technicians vs electricians vs fire engineers. Enables workforce planning.</w:t>
      </w:r>
    </w:p>
    <w:p>
      <w:pPr>
        <w:pStyle w:val="ListParagraph"/>
        <w:numPr>
          <w:ilvl w:val="0"/>
          <w:numId w:val="2"/>
        </w:numPr>
        <w:spacing w:after="100"/>
      </w:pPr>
      <w:r>
        <w:t xml:space="preserve">Which country variants are still pending validation for the Pfizer Switzerland mobilization? Filters procedures by client and country, shows validation status. Highlights blockers in the mobilization workflow.</w:t>
      </w:r>
    </w:p>
    <w:p>
      <w:pPr>
        <w:pStyle w:val="ListParagraph"/>
        <w:numPr>
          <w:ilvl w:val="0"/>
          <w:numId w:val="2"/>
        </w:numPr>
        <w:spacing w:after="200"/>
      </w:pPr>
      <w:r>
        <w:t xml:space="preserve">Show me all procedures where the local frequency exceeds the SFG20 baseline by more than 50%. Cost driver analysis. Identifies procedures that are more expensive in certain countries due to stricter legislation, enabling targeted negotiation or process optimization.</w:t>
      </w:r>
    </w:p>
    <w:p>
      <w:pPr>
        <w:pStyle w:val="Heading2"/>
      </w:pPr>
      <w:r>
        <w:t xml:space="preserve">8.4 Margin Improvement Queries</w:t>
      </w:r>
    </w:p>
    <w:p>
      <w:pPr>
        <w:pStyle w:val="ListParagraph"/>
        <w:numPr>
          <w:ilvl w:val="0"/>
          <w:numId w:val="2"/>
        </w:numPr>
        <w:spacing w:after="100"/>
      </w:pPr>
      <w:r>
        <w:t xml:space="preserve">Across our banking portfolio, which maintenance procedures are we over-delivering vs the contractual SLA? Identifies cost leakage where field teams are performing more maintenance than contracted. Quantifies the cost impact of over-service.</w:t>
      </w:r>
    </w:p>
    <w:p>
      <w:pPr>
        <w:pStyle w:val="ListParagraph"/>
        <w:numPr>
          <w:ilvl w:val="0"/>
          <w:numId w:val="2"/>
        </w:numPr>
        <w:spacing w:after="100"/>
      </w:pPr>
      <w:r>
        <w:t xml:space="preserve">Where are we using specialist contractors that could be brought in-house? Identifies procedures typically outsourced to 3rd-party specialists. Analyzes volume and cost to determine if in-housing would improve margins.</w:t>
      </w:r>
    </w:p>
    <w:p>
      <w:pPr>
        <w:pStyle w:val="ListParagraph"/>
        <w:numPr>
          <w:ilvl w:val="0"/>
          <w:numId w:val="2"/>
        </w:numPr>
        <w:spacing w:after="100"/>
      </w:pPr>
      <w:r>
        <w:t xml:space="preserve">What is the profit margin variance across facility types and geographies? Portfolio performance analysis. Shows which facility types and countries are most profitable, where margins are thin, and which geographies need pricing review.</w:t>
      </w:r>
    </w:p>
    <w:p>
      <w:pPr>
        <w:pStyle w:val="ListParagraph"/>
        <w:numPr>
          <w:ilvl w:val="0"/>
          <w:numId w:val="2"/>
        </w:numPr>
        <w:spacing w:after="200"/>
      </w:pPr>
      <w:r>
        <w:t xml:space="preserve">If we standardize on quarterly fire damper inspection globally, what is the cost impact vs country-specific frequencies? Standardization business case. Models the cost of moving all countries to a common procedure vs maintaining country variants. Identifies the trade-off between operational simplicity and cost.</w:t>
      </w:r>
    </w:p>
    <w:p>
      <w:r>
        <w:br w:type="page"/>
      </w:r>
    </w:p>
    <w:p>
      <w:pPr>
        <w:pStyle w:val="Heading1"/>
      </w:pPr>
      <w:r>
        <w:t xml:space="preserve">9. AI and Agentic Architecture</w:t>
      </w:r>
    </w:p>
    <w:p>
      <w:pPr>
        <w:pStyle w:val="Heading2"/>
      </w:pPr>
      <w:r>
        <w:t xml:space="preserve">9.1 AI Capabilities for FM</w:t>
      </w:r>
    </w:p>
    <w:p>
      <w:pPr>
        <w:spacing w:after="200"/>
      </w:pPr>
      <w:r>
        <w:t xml:space="preserve">AI can transform FM operations across three areas. Estimation: predicting asset quantities and costs from facility profiles (building type, square footage, age, sector). Currently this relies on spreadsheet rules-of-thumb; AI can learn from hundreds of historical contracts to predict with confidence. Optimization: recommending maintenance frequencies based on condition data and failure patterns. Rather than following SFG20 baseline frequencies universally, AI can recommend: "This AHU runs 16 hours/day vs the portfolio average of 12; recommend increasing filter replacement from monthly to every 3 weeks." Compliance: automatically detecting country legislation changes and flagging procedures needing review. As ISO, ASHRAE, DIN standards are updated, the system alerts the relevant country team that X procedures need re-validation.</w:t>
      </w:r>
    </w:p>
    <w:p>
      <w:pPr>
        <w:pStyle w:val="Heading2"/>
      </w:pPr>
      <w:r>
        <w:t xml:space="preserve">9.2 Agentic Workflow</w:t>
      </w:r>
    </w:p>
    <w:p>
      <w:pPr>
        <w:spacing w:after="200"/>
      </w:pPr>
      <w:r>
        <w:t xml:space="preserve">An "agent" is an autonomous AI system that can perform multi-step workflows with minimal human intervention. For MyFM, agentic capabilities would include: Ingest a new facility brief ("Banking branch, Amsterdam, 6,000 sqft, built 2010") and auto-generate an asset estimate with confidence scores. Cross-reference against the master NRM3/SFG20 library to build the complete maintenance specification. Apply country-specific variants automatically (look up Netherlands variants for each procedure). Generate a draft bid proposal with cost estimate. Monitor global legislation changes (subscribe to updates from DIN, ASHRAE, etc.) and automatically flag procedures requiring re-validation. Recommend maintenance schedule optimizations based on historical failure data in the portfolio (e.g., "This facility type has seen 3 AHU failures in the last 18 months; recommend increasing inspection frequency").</w:t>
      </w:r>
    </w:p>
    <w:p>
      <w:pPr>
        <w:pStyle w:val="Heading2"/>
      </w:pPr>
      <w:r>
        <w:t xml:space="preserve">9.3 Architecture Recommendations</w:t>
      </w:r>
    </w:p>
    <w:p>
      <w:pPr>
        <w:pStyle w:val="ListParagraph"/>
        <w:numPr>
          <w:ilvl w:val="0"/>
          <w:numId w:val="2"/>
        </w:numPr>
        <w:spacing w:after="100"/>
      </w:pPr>
      <w:r>
        <w:t xml:space="preserve">Cloud-Native Platform: Deploy on Azure or AWS for scalability, security, and compliance. Use managed database (SQL Server, PostgreSQL) for the master data repository.</w:t>
      </w:r>
    </w:p>
    <w:p>
      <w:pPr>
        <w:pStyle w:val="ListParagraph"/>
        <w:numPr>
          <w:ilvl w:val="0"/>
          <w:numId w:val="2"/>
        </w:numPr>
        <w:spacing w:after="100"/>
      </w:pPr>
      <w:r>
        <w:t xml:space="preserve">Central Master Data Repository: Replace Excel spreadsheets with a structured relational database. Implement version control and audit trail on all changes.</w:t>
      </w:r>
    </w:p>
    <w:p>
      <w:pPr>
        <w:pStyle w:val="ListParagraph"/>
        <w:numPr>
          <w:ilvl w:val="0"/>
          <w:numId w:val="2"/>
        </w:numPr>
        <w:spacing w:after="100"/>
      </w:pPr>
      <w:r>
        <w:t xml:space="preserve">API-Driven Architecture: Expose master data via REST APIs so existing CAFM systems, ERP systems, and bid tools can integrate without manual re-entry.</w:t>
      </w:r>
    </w:p>
    <w:p>
      <w:pPr>
        <w:pStyle w:val="ListParagraph"/>
        <w:numPr>
          <w:ilvl w:val="0"/>
          <w:numId w:val="2"/>
        </w:numPr>
        <w:spacing w:after="100"/>
      </w:pPr>
      <w:r>
        <w:t xml:space="preserve">Role-Based Access: Country teams see only their variants; bid managers see roll-up pricing; executive sees portfolio analytics.</w:t>
      </w:r>
    </w:p>
    <w:p>
      <w:pPr>
        <w:pStyle w:val="ListParagraph"/>
        <w:numPr>
          <w:ilvl w:val="0"/>
          <w:numId w:val="2"/>
        </w:numPr>
        <w:spacing w:after="100"/>
      </w:pPr>
      <w:r>
        <w:t xml:space="preserve">AI/ML Pipeline: Data warehouse for historical contract data. ML models trained on asset → actual cost correlations to power the bid estimator.</w:t>
      </w:r>
    </w:p>
    <w:p>
      <w:pPr>
        <w:pStyle w:val="ListParagraph"/>
        <w:numPr>
          <w:ilvl w:val="0"/>
          <w:numId w:val="2"/>
        </w:numPr>
        <w:spacing w:after="200"/>
      </w:pPr>
      <w:r>
        <w:t xml:space="preserve">Real-Time Sync: Master file → country files with conflict resolution. If a procedure is updated in master and also locally modified, flag for manual review.</w:t>
      </w:r>
    </w:p>
    <w:p>
      <w:pPr>
        <w:pStyle w:val="Heading2"/>
      </w:pPr>
      <w:r>
        <w:t xml:space="preserve">9.4 Implementation Roadmap</w:t>
      </w:r>
    </w:p>
    <w:p>
      <w:pPr>
        <w:pStyle w:val="ListParagraph"/>
        <w:numPr>
          <w:ilvl w:val="0"/>
          <w:numId w:val="2"/>
        </w:numPr>
        <w:spacing w:after="100"/>
      </w:pPr>
      <w:r>
        <w:t xml:space="preserve">Phase 1 (Months 1-3): Data Migration &amp; Master Library. Migrate Excel master data library to structured database. Clean and validate NRM3/SFG20 definitions. Build CRUD application for asset/procedure management.</w:t>
      </w:r>
    </w:p>
    <w:p>
      <w:pPr>
        <w:pStyle w:val="ListParagraph"/>
        <w:numPr>
          <w:ilvl w:val="0"/>
          <w:numId w:val="2"/>
        </w:numPr>
        <w:spacing w:after="100"/>
      </w:pPr>
      <w:r>
        <w:t xml:space="preserve">Phase 2 (Months 4-6): Country Variant Workflow. Implement country variant management. Build validation workflow where country teams can review, approve, reject procedures. Establish audit trail.</w:t>
      </w:r>
    </w:p>
    <w:p>
      <w:pPr>
        <w:pStyle w:val="ListParagraph"/>
        <w:numPr>
          <w:ilvl w:val="0"/>
          <w:numId w:val="2"/>
        </w:numPr>
        <w:spacing w:after="100"/>
      </w:pPr>
      <w:r>
        <w:t xml:space="preserve">Phase 3 (Months 7-9): AI Bid Estimation Engine. Implement facility profile data model. Build ML model trained on historical contract data to predict assets from facility type/size/age/sector. Validate against real bids. Build UI for bid estimator.</w:t>
      </w:r>
    </w:p>
    <w:p>
      <w:pPr>
        <w:pStyle w:val="ListParagraph"/>
        <w:numPr>
          <w:ilvl w:val="0"/>
          <w:numId w:val="2"/>
        </w:numPr>
        <w:spacing w:after="200"/>
      </w:pPr>
      <w:r>
        <w:t xml:space="preserve">Phase 4 (Months 10-12): Agentic Capabilities. Implement legislation monitoring agents. Build predictive maintenance recommendation engine. Full agentic workflows for mobilization.</w:t>
      </w:r>
    </w:p>
    <w:p>
      <w:r>
        <w:br w:type="page"/>
      </w:r>
    </w:p>
    <w:p>
      <w:pPr>
        <w:pStyle w:val="Heading1"/>
      </w:pPr>
      <w:r>
        <w:t xml:space="preserve">10. Interactive Mockups</w:t>
      </w:r>
    </w:p>
    <w:p>
      <w:pPr>
        <w:pStyle w:val="Heading2"/>
      </w:pPr>
      <w:r>
        <w:t xml:space="preserve">10.1 Overview and Rationale</w:t>
      </w:r>
    </w:p>
    <w:p>
      <w:pPr>
        <w:spacing w:after="200"/>
      </w:pPr>
      <w:r>
        <w:t xml:space="preserve">Three interactive mockups have been developed as standalone HTML applications to demonstrate the vision for the MyFM platform. These mockups are designed to be tangible, clickable prototypes that bring the data model and AI concepts to life. They serve three purposes: First, to validate the proposed user experience with MyFM stakeholders before committing to full development. Second, to demonstrate how NRM3 and SFG20 data structures translate into practical working tools. Third, to showcase the AI/agentic capabilities that differentiate this platform from traditional CAFM systems. Each mockup is a fully functional React application that runs in any modern browser with no installation required. The mockups are interactive — users can search, filter, create, edit, and delete data to experience the workflow. The mockups contain realistic sample data (14 assets, multiple procedures per asset, country variants) to ground discussions in concrete examples rather than abstract wireframes.</w:t>
      </w:r>
    </w:p>
    <w:p>
      <w:pPr>
        <w:pStyle w:val="Heading2"/>
      </w:pPr>
      <w:r>
        <w:t xml:space="preserve">10.2 Mockup 1: Asset Taxonomy Browser</w:t>
      </w:r>
    </w:p>
    <w:p>
      <w:pPr>
        <w:spacing w:after="200"/>
      </w:pPr>
      <w:r>
        <w:t xml:space="preserve">This mockup implements the NRM3 hierarchical asset classification as an interactive tree browser. The left panel shows the full NRM3 taxonomy (Group Elements 0-8) as an expandable tree with search filtering. Users can expand Group Element 5 (Services) to see all 8 Element categories (Sanitary, Mechanical, Electrical, Lifts, Fire, Communication, BMS, Security), then expand each to see sub-elements and assets.</w:t>
      </w:r>
    </w:p>
    <w:p>
      <w:pPr>
        <w:spacing w:after="200"/>
      </w:pPr>
      <w:r>
        <w:t xml:space="preserve">The right panel displays detailed asset information across three tabs. Asset Details tab shows: NRM3 classification path (e.g., "5.2.1.3 — AHU Frame and Casing"), criticality (A/B/C), condition grade (Good/Fair/Poor), lifespan (years), replacement cost, and applicable facility types (Banking, Life Sciences, etc.). Linked Procedures tab shows all SFG20 maintenance schedules for this asset: procedure code, task description, frequency, skill category, estimated duration, and priority. Country Variants tab shows legislation-specific overrides: for each country (UK, NL, US, DE), whether the procedure is Pending, Under Review, Validated, or Rejected, with the validated frequency and any additional requirements.</w:t>
      </w:r>
    </w:p>
    <w:p>
      <w:pPr>
        <w:spacing w:after="200"/>
      </w:pPr>
      <w:r>
        <w:t xml:space="preserve">The mockup includes full CRUD operations: users can add new assets to the taxonomy via modal forms, edit existing asset details (criticality, lifespan, cost), create and modify SFG20 procedures, manage country variants (change frequency, mark as validated), and delete items with confirmation dialogs. All forms include validation (e.g., criticality must be A/B/C, frequency must be positive integer). The mockup contains 14 fully detailed assets spanning: Mechanical (Air Handling Unit, Fan Coil Unit, Chiller, Boiler), Electrical (Main Distribution Board, UPS, Emergency Lighting), Lifts (Passenger Lift), Fire (Fire Alarm Panel, Sprinkler System), Building Management (BMS Controller), and Security (CCTV System, Access Control System).</w:t>
      </w:r>
    </w:p>
    <w:p>
      <w:pPr>
        <w:spacing w:after="200"/>
      </w:pPr>
      <w:r>
        <w:t xml:space="preserve">Rationale: This mockup directly addresses MyFM's core challenge — replacing the unwieldy Excel-based master data library with a structured, navigable, and editable interface that makes the NRM3/SFG20 relationship intuitive. It demonstrates that structured data can be both comprehensive and accessible. By clicking on an AHU, a user immediately sees all its maintenance procedures, their frequencies across countries, and validation status. This eliminates the need to cross-reference multiple Excel sheets.</w:t>
      </w:r>
    </w:p>
    <w:p>
      <w:pPr>
        <w:pStyle w:val="Heading2"/>
      </w:pPr>
      <w:r>
        <w:t xml:space="preserve">10.3 Mockup 2: AI Bid Estimator</w:t>
      </w:r>
    </w:p>
    <w:p>
      <w:pPr>
        <w:spacing w:after="200"/>
      </w:pPr>
      <w:r>
        <w:t xml:space="preserve">This mockup demonstrates the AI-powered bid estimation workflow as a 4-step wizard. Step 1 (Facility Profile) captures the essential inputs: building type (dropdown: Banking Branch, Banking Data Centre, Banking HQ, Life Sciences Lab, Life Sciences Cleanroom, Life Sciences Manufacturing, Warehouse, General Office), country (dropdown: UK, Netherlands, US, Germany), square footage (slider 1,000-100,000 sqft), density (dropdown: Low/Medium/High for asset intensity), number of floors (1-50), and building age (slider 0-50 years).</w:t>
      </w:r>
    </w:p>
    <w:p>
      <w:pPr>
        <w:spacing w:after="200"/>
      </w:pPr>
      <w:r>
        <w:t xml:space="preserve">Step 2 (AI Asset Estimation) shows an animated AI analysis phase (simulating model inference), then presents estimated assets in an editable table. Columns: Asset Type | Estimated Qty | Confidence Score (0-100%) | Unit Cost Range | Annual Maint Cost. For example: AHU | 2 | 87% | £12,000-£15,000 | £3,600. The user can edit quantities ("Actually we have 3 AHUs") and costs ("The client gave us quotes"). Real-time recalculation updates the total cost estimate.</w:t>
      </w:r>
    </w:p>
    <w:p>
      <w:pPr>
        <w:spacing w:after="200"/>
      </w:pPr>
      <w:r>
        <w:t xml:space="preserve">Step 3 (Procedure Mapping) maps estimated assets to SFG20 procedures and visualizes the results. Left side: skill mix distribution as a pie chart ("30% HVAC Technician, 25% Electrician, 20% Fire Engineer..."). Right side: maintenance frequency distribution as a bar chart ("Monthly: 12 procedures, Quarterly: 8, Annual: 5..."). A table lists top 20 procedures by annual labor hours, sorted descending. These visualizations help the estimator understand the operational implications of the asset profile.</w:t>
      </w:r>
    </w:p>
    <w:p>
      <w:pPr>
        <w:spacing w:after="200"/>
      </w:pPr>
      <w:r>
        <w:t xml:space="preserve">Step 4 (Bid Summary) presents the final bid recommendation: Base Annual Maintenance Cost (sum of procedure labor + parts), plus 25% assumed profit margin, equals Recommended Bid Price. Below that, risk-adjusted pricing bands: Conservative (20% margin), Expected (25%), Optimistic (35%), helping the bid team choose pricing strategy. A historical comparison section shows: "Last 10 similar facilities (Banking Branch, 5,000-6,000 sqft, 0-5 years old, UK): average bid £28,500, range £25,000-£32,000. Your estimate: £29,200." This validates the estimate against historical data.</w:t>
      </w:r>
    </w:p>
    <w:p>
      <w:pPr>
        <w:spacing w:after="200"/>
      </w:pPr>
      <w:r>
        <w:t xml:space="preserve">Rationale: This mockup addresses the "no asset list" problem — when a new client provides only a building type and square footage, the AI can estimate the full asset register and generate a competitive bid. It shows how historical data from across the portfolio makes every new bid more accurate, directly improving win rates and margins. The mockup demonstrates that AI estimation is not a black box; users see asset quantities, confidence scores, and skill mix implications, maintaining trust and enabling human judgment.</w:t>
      </w:r>
    </w:p>
    <w:p>
      <w:pPr>
        <w:pStyle w:val="Heading2"/>
      </w:pPr>
      <w:r>
        <w:t xml:space="preserve">10.4 Mockup 3: Global Mobilisation Workflow</w:t>
      </w:r>
    </w:p>
    <w:p>
      <w:pPr>
        <w:spacing w:after="200"/>
      </w:pPr>
      <w:r>
        <w:t xml:space="preserve">This mockup demonstrates the end-to-end mobilisation workflow for onboarding new client accounts across multiple countries. It has three integrated sections. Pipeline Board (top): A Kanban-style board with four columns: New Account → In Mobilisation → Validating Procedures → Live. Cards in each column represent active mobilisations, each showing: Client Name, Facility Type, Country, Start Date, Due Date (highlighted red if overdue), and a progress bar (e.g., "73% complete"). Clicking a card opens a detail panel showing mobilisation tasks, assigned owner, and status.</w:t>
      </w:r>
    </w:p>
    <w:p>
      <w:pPr>
        <w:spacing w:after="200"/>
      </w:pPr>
      <w:r>
        <w:t xml:space="preserve">Procedure Validation Dashboard (middle): A table showing SFG20 procedures with columns: Procedure Code | Description | UK Frequency | [Country] Frequency | Validation Status | AI Recommendation. For each procedure, the user can click to view side-by-side comparison: "SFG20 Baseline: Monthly filter replacement. German legislation (DIN 1946-4): Quarterly required. Status: Pending Review. AI Recommendation: Quarterly is more cost-effective if equipment condition data supports it." The user can change status from Pending → Under Review → Validated or Rejected, with a reason/comment field. Filtering options: Show all / Only Pending / Only Under Review / Only Conflicting (where local differs from baseline by &gt;50%).</w:t>
      </w:r>
    </w:p>
    <w:p>
      <w:pPr>
        <w:spacing w:after="200"/>
      </w:pPr>
      <w:r>
        <w:t xml:space="preserve">Master File Sync Status (bottom): A timeline/status view showing data flow: Master File (central truth) → Country File (in progress sync) → Validated File (final state) → Back to Master (feedback loop). For each country, cards show: Country Name | Last Sync Time | Procedures Synced | Conflicts Detected | Sync Status (Success/In Progress/Error). A toggle button enables manual re-sync. Clicking a country shows the conflict log: "Netherlands variant of Fire Alarm Testing differs from Master by 5 days frequency. Awaiting validator approval."</w:t>
      </w:r>
    </w:p>
    <w:p>
      <w:pPr>
        <w:spacing w:after="200"/>
      </w:pPr>
      <w:r>
        <w:t xml:space="preserve">Rationale: This mockup addresses MyFM's global coordination challenge — the mobilisation process where master procedures must be validated against local legislation by country teams, then fed back to the master. It visualizes the workflow that currently happens via email and spreadsheets, showing how a structured platform with AI assistance can dramatically reduce mobilisation timescales (from 6-8 weeks to 2-3 weeks) and ensure compliance. The mockup also demonstrates AI benefits: flagging conflicting procedures, recommending validations based on legislation change monitoring, and providing audit trail of all approvals.</w:t>
      </w:r>
    </w:p>
    <w:p>
      <w:r>
        <w:br w:type="page"/>
      </w:r>
    </w:p>
    <w:p>
      <w:pPr>
        <w:pStyle w:val="Heading1"/>
      </w:pPr>
      <w:r>
        <w:t xml:space="preserve">11. Recommendations and Next Steps</w:t>
      </w:r>
    </w:p>
    <w:p>
      <w:pPr>
        <w:pStyle w:val="Heading2"/>
      </w:pPr>
      <w:r>
        <w:t xml:space="preserve">11.1 Key Recommendations</w:t>
      </w:r>
    </w:p>
    <w:p>
      <w:pPr>
        <w:pStyle w:val="ListParagraph"/>
        <w:numPr>
          <w:ilvl w:val="0"/>
          <w:numId w:val="2"/>
        </w:numPr>
        <w:spacing w:after="100"/>
      </w:pPr>
      <w:r>
        <w:t xml:space="preserve">Migrate the Excel master data library to a structured database built on the NRM3/SFG20 data model. This is the foundational step. Current spreadsheets are unmaintainable at scale. A relational database with version control and audit trail will immediately improve data integrity and enable the subsequent recommendations.</w:t>
      </w:r>
    </w:p>
    <w:p>
      <w:pPr>
        <w:pStyle w:val="ListParagraph"/>
        <w:numPr>
          <w:ilvl w:val="0"/>
          <w:numId w:val="2"/>
        </w:numPr>
        <w:spacing w:after="100"/>
      </w:pPr>
      <w:r>
        <w:t xml:space="preserve">Implement the Asset Taxonomy Browser (Mockup 1) as the primary interface for master data management. Replace the spreadsheet navigation with a UI that makes the NRM3 hierarchy and asset-procedure relationships explicit. This investment pays immediate returns in reduced maintenance burden and fewer data entry errors.</w:t>
      </w:r>
    </w:p>
    <w:p>
      <w:pPr>
        <w:pStyle w:val="ListParagraph"/>
        <w:numPr>
          <w:ilvl w:val="0"/>
          <w:numId w:val="2"/>
        </w:numPr>
        <w:spacing w:after="100"/>
      </w:pPr>
      <w:r>
        <w:t xml:space="preserve">Develop the AI bid estimation engine using historical contract data. Identify 2-3 high-confidence facility types (e.g., Banking Branches, generic office buildings) and build initial ML models. Validate against actual bids before rolling out. This directly improves win rates and bid margins.</w:t>
      </w:r>
    </w:p>
    <w:p>
      <w:pPr>
        <w:pStyle w:val="ListParagraph"/>
        <w:numPr>
          <w:ilvl w:val="0"/>
          <w:numId w:val="2"/>
        </w:numPr>
        <w:spacing w:after="100"/>
      </w:pPr>
      <w:r>
        <w:t xml:space="preserve">Establish a formal country variant validation workflow with audit trail. Replace email-based coordination with the Global Mobilisation Workflow. Assign clear ownership for each country, define SLAs for validation, and measure mobilisation time reduction.</w:t>
      </w:r>
    </w:p>
    <w:p>
      <w:pPr>
        <w:pStyle w:val="ListParagraph"/>
        <w:numPr>
          <w:ilvl w:val="0"/>
          <w:numId w:val="2"/>
        </w:numPr>
        <w:spacing w:after="100"/>
      </w:pPr>
      <w:r>
        <w:t xml:space="preserve">Build an API layer to enable integration with existing CAFM and ERP systems. This prevents data silos and enables workflow automation. Ensure APIs follow REST standards and comprehensive documentation.</w:t>
      </w:r>
    </w:p>
    <w:p>
      <w:pPr>
        <w:pStyle w:val="ListParagraph"/>
        <w:numPr>
          <w:ilvl w:val="0"/>
          <w:numId w:val="2"/>
        </w:numPr>
        <w:spacing w:after="200"/>
      </w:pPr>
      <w:r>
        <w:t xml:space="preserve">Invest in AI/ML capabilities for predictive maintenance and legislation monitoring. This is the longer-term roadmap item (Phase 4). It requires data maturity and organizational change management, but the ROI in operational efficiency and compliance risk mitigation is substantial.</w:t>
      </w:r>
    </w:p>
    <w:p>
      <w:pPr>
        <w:pStyle w:val="Heading2"/>
      </w:pPr>
      <w:r>
        <w:t xml:space="preserve">11.2 Immediate Next Steps</w:t>
      </w:r>
    </w:p>
    <w:p>
      <w:pPr>
        <w:pStyle w:val="ListParagraph"/>
        <w:numPr>
          <w:ilvl w:val="0"/>
          <w:numId w:val="2"/>
        </w:numPr>
        <w:spacing w:after="100"/>
      </w:pPr>
      <w:r>
        <w:t xml:space="preserve">Review the interactive mockups with the technical services team and gather feedback. Demonstrate how the taxonomy browser replaces spreadsheets, how the bid estimator works, and how the mobilisation workflow streamlines coordination. Identify feature gaps or misunderstandings.</w:t>
      </w:r>
    </w:p>
    <w:p>
      <w:pPr>
        <w:pStyle w:val="ListParagraph"/>
        <w:numPr>
          <w:ilvl w:val="0"/>
          <w:numId w:val="2"/>
        </w:numPr>
        <w:spacing w:after="100"/>
      </w:pPr>
      <w:r>
        <w:t xml:space="preserve">Conduct a data audit of the existing Excel master library to assess migration readiness. Document current data structure, field mappings, known data quality issues, and dependencies. Estimate effort for data cleansing and validation.</w:t>
      </w:r>
    </w:p>
    <w:p>
      <w:pPr>
        <w:pStyle w:val="ListParagraph"/>
        <w:numPr>
          <w:ilvl w:val="0"/>
          <w:numId w:val="2"/>
        </w:numPr>
        <w:spacing w:after="100"/>
      </w:pPr>
      <w:r>
        <w:t xml:space="preserve">Identify 2-3 pilot contracts for the AI bid estimation engine. Select contracts from the past 12 months with complete data (actual asset count, actual maintenance cost over time). Use these to train and validate initial models before wider rollout.</w:t>
      </w:r>
    </w:p>
    <w:p>
      <w:pPr>
        <w:pStyle w:val="ListParagraph"/>
        <w:numPr>
          <w:ilvl w:val="0"/>
          <w:numId w:val="2"/>
        </w:numPr>
        <w:spacing w:after="100"/>
      </w:pPr>
      <w:r>
        <w:t xml:space="preserve">Define the MVP (Minimum Viable Product) scope for Phase 1 development. What is the smallest feature set that provides immediate value? Recommend: structured master data management + asset taxonomy browser + basic query interface. Launch with one facility type (Banking Branch) fully implemented, then expand.</w:t>
      </w:r>
    </w:p>
    <w:p>
      <w:pPr>
        <w:pStyle w:val="ListParagraph"/>
        <w:numPr>
          <w:ilvl w:val="0"/>
          <w:numId w:val="2"/>
        </w:numPr>
        <w:spacing w:after="200"/>
      </w:pPr>
      <w:r>
        <w:t xml:space="preserve">Agree on the technology platform: cloud provider (Azure/AWS), database (SQL Server/PostgreSQL), front-end framework (React), and DevOps infrastructure (CI/CD pipelines, monitoring, disaster recovery). Establish architecture review board to ensure consistency and scalability.</w:t>
      </w:r>
    </w:p>
    <w:p>
      <w:pPr>
        <w:spacing w:before="200"/>
      </w:pPr>
      <w:r>
        <w:rPr>
          <w:i/>
          <w:iCs/>
        </w:rPr>
        <w:t xml:space="preserve">End of Document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8640"/>
      </w:tabs>
    </w:pPr>
    <w:r>
      <w:rPr>
        <w:sz w:val="18"/>
        <w:szCs w:val="18"/>
      </w:rPr>
      <w:t xml:space="preserve">Confidential — Grassroots Ideas</w:t>
    </w:r>
    <w:r>
      <w:rPr>
        <w:sz w:val="18"/>
        <w:szCs w:val="18"/>
      </w:rPr>
      <w:t xml:space="preserve">	Page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sz w:val="20"/>
        <w:szCs w:val="20"/>
      </w:rPr>
      <w:t xml:space="preserve">MyFM Research Document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1F4E78"/>
      <w:sz w:val="32"/>
      <w:szCs w:val="32"/>
    </w:rPr>
  </w:style>
  <w:style w:type="paragraph" w:styleId="Heading2">
    <w:name w:val="Heading 2"/>
    <w:basedOn w:val="Normal"/>
    <w:next w:val="Normal"/>
    <w:qFormat/>
    <w:pPr>
      <w:spacing w:after="100" w:before="180"/>
      <w:outlineLvl w:val="1"/>
    </w:pPr>
    <w:rPr>
      <w:rFonts w:ascii="Arial" w:cs="Arial" w:eastAsia="Arial" w:hAnsi="Arial"/>
      <w:b/>
      <w:bCs/>
      <w:color w:val="2E75B6"/>
      <w:sz w:val="28"/>
      <w:szCs w:val="28"/>
    </w:rPr>
  </w:style>
  <w:style w:type="paragraph" w:styleId="Heading3">
    <w:name w:val="Heading 3"/>
    <w:basedOn w:val="Normal"/>
    <w:next w:val="Normal"/>
    <w:qFormat/>
    <w:pPr>
      <w:spacing w:after="80" w:before="12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2026-03-15T20:30:41.964Z</dcterms:created>
  <dcterms:modified xsi:type="dcterms:W3CDTF">2026-03-15T20:30:41.965Z</dcterms:modified>
</cp:coreProperties>
</file>

<file path=docProps/custom.xml><?xml version="1.0" encoding="utf-8"?>
<Properties xmlns="http://schemas.openxmlformats.org/officeDocument/2006/custom-properties" xmlns:vt="http://schemas.openxmlformats.org/officeDocument/2006/docPropsVTypes"/>
</file>