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14B" w:rsidRPr="00192F5C" w:rsidRDefault="00AB340C" w:rsidP="00D76204">
      <w:pPr>
        <w:pStyle w:val="Heading1"/>
        <w:jc w:val="center"/>
        <w:rPr>
          <w:rFonts w:ascii="Times New Roman" w:hAnsi="Times New Roman" w:cs="Times New Roman"/>
          <w:sz w:val="20"/>
          <w:szCs w:val="20"/>
        </w:rPr>
      </w:pPr>
      <w:r w:rsidRPr="00192F5C">
        <w:rPr>
          <w:rFonts w:ascii="Times New Roman" w:hAnsi="Times New Roman" w:cs="Times New Roman"/>
          <w:sz w:val="20"/>
          <w:szCs w:val="20"/>
        </w:rPr>
        <w:t>Roadmap to Carnegie SEM Paper</w:t>
      </w:r>
    </w:p>
    <w:p w:rsidR="00AB340C" w:rsidRPr="00192F5C" w:rsidRDefault="00AB340C" w:rsidP="00D76204">
      <w:pPr>
        <w:jc w:val="center"/>
        <w:rPr>
          <w:rFonts w:ascii="Times New Roman" w:hAnsi="Times New Roman" w:cs="Times New Roman"/>
          <w:sz w:val="20"/>
          <w:szCs w:val="20"/>
        </w:rPr>
      </w:pPr>
    </w:p>
    <w:p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Carnegie Classifications</w:t>
      </w:r>
    </w:p>
    <w:p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Context – Why do we care about CC?</w:t>
      </w:r>
    </w:p>
    <w:p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Methodology - Paul</w:t>
      </w:r>
    </w:p>
    <w:p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Critique – Paul/Mark?</w:t>
      </w:r>
    </w:p>
    <w:p w:rsidR="00AB340C" w:rsidRPr="00192F5C" w:rsidRDefault="00AB340C" w:rsidP="00AB340C">
      <w:pPr>
        <w:pStyle w:val="ListParagraph"/>
        <w:numPr>
          <w:ilvl w:val="2"/>
          <w:numId w:val="2"/>
        </w:numPr>
        <w:rPr>
          <w:rFonts w:ascii="Times New Roman" w:hAnsi="Times New Roman" w:cs="Times New Roman"/>
          <w:sz w:val="20"/>
          <w:szCs w:val="20"/>
        </w:rPr>
      </w:pPr>
      <w:r w:rsidRPr="00192F5C">
        <w:rPr>
          <w:rFonts w:ascii="Times New Roman" w:hAnsi="Times New Roman" w:cs="Times New Roman"/>
          <w:sz w:val="20"/>
          <w:szCs w:val="20"/>
        </w:rPr>
        <w:t xml:space="preserve">Sensitivity of loadings of variables </w:t>
      </w:r>
      <w:r w:rsidR="008E2AAB">
        <w:rPr>
          <w:rFonts w:ascii="Times New Roman" w:hAnsi="Times New Roman" w:cs="Times New Roman"/>
          <w:sz w:val="20"/>
          <w:szCs w:val="20"/>
        </w:rPr>
        <w:t>- Paul</w:t>
      </w:r>
    </w:p>
    <w:p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SEM</w:t>
      </w:r>
    </w:p>
    <w:p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Context</w:t>
      </w:r>
      <w:r w:rsidR="008E2AAB">
        <w:rPr>
          <w:rFonts w:ascii="Times New Roman" w:hAnsi="Times New Roman" w:cs="Times New Roman"/>
          <w:sz w:val="20"/>
          <w:szCs w:val="20"/>
        </w:rPr>
        <w:t xml:space="preserve"> - Paul</w:t>
      </w:r>
    </w:p>
    <w:p w:rsidR="00AB340C" w:rsidRPr="008E2AAB" w:rsidRDefault="00AB340C" w:rsidP="00AB340C">
      <w:pPr>
        <w:pStyle w:val="ListParagraph"/>
        <w:numPr>
          <w:ilvl w:val="1"/>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Methodology </w:t>
      </w:r>
      <w:r w:rsidR="008E2AAB">
        <w:rPr>
          <w:rFonts w:ascii="Times New Roman" w:hAnsi="Times New Roman" w:cs="Times New Roman"/>
          <w:b/>
          <w:color w:val="FF0000"/>
          <w:sz w:val="20"/>
          <w:szCs w:val="20"/>
        </w:rPr>
        <w:t>(Sarah will fill it in</w:t>
      </w:r>
      <w:r w:rsidRPr="008E2AAB">
        <w:rPr>
          <w:rFonts w:ascii="Times New Roman" w:hAnsi="Times New Roman" w:cs="Times New Roman"/>
          <w:b/>
          <w:color w:val="FF0000"/>
          <w:sz w:val="20"/>
          <w:szCs w:val="20"/>
        </w:rPr>
        <w:t>)</w:t>
      </w:r>
    </w:p>
    <w:p w:rsidR="0005614B" w:rsidRPr="008E2AAB" w:rsidRDefault="0005614B" w:rsidP="0005614B">
      <w:pPr>
        <w:pStyle w:val="ListParagraph"/>
        <w:numPr>
          <w:ilvl w:val="2"/>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Carnegie Method on SEM </w:t>
      </w:r>
    </w:p>
    <w:p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Diagnostics (Laura/Sarah/Paul)</w:t>
      </w:r>
    </w:p>
    <w:p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 xml:space="preserve">Variability of the variables – look at which variables are impacting things the most or the least (analogue of looking at loadings on a PCA) </w:t>
      </w:r>
      <w:r w:rsidR="008E2AAB">
        <w:rPr>
          <w:rFonts w:ascii="Times New Roman" w:hAnsi="Times New Roman" w:cs="Times New Roman"/>
          <w:sz w:val="20"/>
          <w:szCs w:val="20"/>
        </w:rPr>
        <w:t>(Paul and Sarah)</w:t>
      </w:r>
      <w:bookmarkStart w:id="0" w:name="_GoBack"/>
      <w:bookmarkEnd w:id="0"/>
    </w:p>
    <w:p w:rsidR="00AB340C" w:rsidRPr="008E2AAB" w:rsidRDefault="00AB340C" w:rsidP="00AB340C">
      <w:pPr>
        <w:pStyle w:val="ListParagraph"/>
        <w:numPr>
          <w:ilvl w:val="0"/>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Model-Based Clustering</w:t>
      </w:r>
      <w:r w:rsidR="008E2AAB">
        <w:rPr>
          <w:rFonts w:ascii="Times New Roman" w:hAnsi="Times New Roman" w:cs="Times New Roman"/>
          <w:color w:val="0070C0"/>
          <w:sz w:val="20"/>
          <w:szCs w:val="20"/>
        </w:rPr>
        <w:t xml:space="preserve"> (Mark)</w:t>
      </w:r>
    </w:p>
    <w:p w:rsidR="00AB340C" w:rsidRPr="008E2AAB" w:rsidRDefault="00AB340C" w:rsidP="00AB340C">
      <w:pPr>
        <w:pStyle w:val="ListParagraph"/>
        <w:numPr>
          <w:ilvl w:val="1"/>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Proposed Classifications</w:t>
      </w:r>
    </w:p>
    <w:p w:rsidR="00AB340C" w:rsidRPr="008E2AAB" w:rsidRDefault="00AB340C" w:rsidP="00AB340C">
      <w:pPr>
        <w:pStyle w:val="ListParagraph"/>
        <w:numPr>
          <w:ilvl w:val="0"/>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and Sensitivity</w:t>
      </w:r>
    </w:p>
    <w:p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Carnegie Classifications</w:t>
      </w:r>
    </w:p>
    <w:p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SEM-based classifications</w:t>
      </w:r>
    </w:p>
    <w:p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Justification</w:t>
      </w:r>
    </w:p>
    <w:p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Discuss</w:t>
      </w:r>
      <w:r w:rsidR="005D0A1B" w:rsidRPr="00192F5C">
        <w:rPr>
          <w:rFonts w:ascii="Times New Roman" w:hAnsi="Times New Roman" w:cs="Times New Roman"/>
          <w:sz w:val="20"/>
          <w:szCs w:val="20"/>
        </w:rPr>
        <w:t xml:space="preserve">ion of why the model is better </w:t>
      </w:r>
    </w:p>
    <w:p w:rsidR="005D0A1B" w:rsidRPr="00192F5C" w:rsidRDefault="005D0A1B" w:rsidP="005D0A1B">
      <w:pPr>
        <w:rPr>
          <w:rFonts w:ascii="Times New Roman" w:hAnsi="Times New Roman" w:cs="Times New Roman"/>
          <w:sz w:val="20"/>
          <w:szCs w:val="20"/>
        </w:rPr>
      </w:pP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Roadmap:</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Model</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Interpret</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Compare</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Shiny App</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MBC</w:t>
      </w:r>
    </w:p>
    <w:p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Fit Values</w:t>
      </w:r>
    </w:p>
    <w:p w:rsidR="00EF6B76" w:rsidRPr="00192F5C" w:rsidRDefault="00EF6B76" w:rsidP="005D0A1B">
      <w:pPr>
        <w:rPr>
          <w:rFonts w:ascii="Times New Roman" w:hAnsi="Times New Roman" w:cs="Times New Roman"/>
          <w:sz w:val="20"/>
          <w:szCs w:val="20"/>
        </w:rPr>
      </w:pPr>
    </w:p>
    <w:p w:rsidR="00EF6B76" w:rsidRPr="00192F5C" w:rsidRDefault="00EF6B76" w:rsidP="005D0A1B">
      <w:pPr>
        <w:rPr>
          <w:rFonts w:ascii="Times New Roman" w:hAnsi="Times New Roman" w:cs="Times New Roman"/>
          <w:sz w:val="20"/>
          <w:szCs w:val="20"/>
        </w:rPr>
      </w:pPr>
      <w:r w:rsidRPr="00192F5C">
        <w:rPr>
          <w:rFonts w:ascii="Times New Roman" w:hAnsi="Times New Roman" w:cs="Times New Roman"/>
          <w:sz w:val="20"/>
          <w:szCs w:val="20"/>
        </w:rPr>
        <w:t>For meeting with Mark</w:t>
      </w:r>
      <w:proofErr w:type="gramStart"/>
      <w:r w:rsidRPr="00192F5C">
        <w:rPr>
          <w:rFonts w:ascii="Times New Roman" w:hAnsi="Times New Roman" w:cs="Times New Roman"/>
          <w:sz w:val="20"/>
          <w:szCs w:val="20"/>
        </w:rPr>
        <w:t xml:space="preserve">: </w:t>
      </w:r>
      <w:r w:rsidR="00AD533B" w:rsidRPr="00192F5C">
        <w:rPr>
          <w:rFonts w:ascii="Times New Roman" w:hAnsi="Times New Roman" w:cs="Times New Roman"/>
          <w:sz w:val="20"/>
          <w:szCs w:val="20"/>
        </w:rPr>
        <w:t xml:space="preserve"> (</w:t>
      </w:r>
      <w:proofErr w:type="gramEnd"/>
      <w:r w:rsidR="00AD533B" w:rsidRPr="00192F5C">
        <w:rPr>
          <w:rFonts w:ascii="Times New Roman" w:hAnsi="Times New Roman" w:cs="Times New Roman"/>
          <w:sz w:val="20"/>
          <w:szCs w:val="20"/>
        </w:rPr>
        <w:t>let’s try to schedule something in the next week or so)</w:t>
      </w:r>
    </w:p>
    <w:p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Cleaned up version of the code, (bare minimum) </w:t>
      </w:r>
    </w:p>
    <w:p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Give him the scores</w:t>
      </w:r>
    </w:p>
    <w:p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Have him look at clustering over the break</w:t>
      </w:r>
    </w:p>
    <w:p w:rsidR="00AD533B" w:rsidRPr="00192F5C" w:rsidRDefault="00AD533B"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Give him the shiny apps if we have them </w:t>
      </w:r>
    </w:p>
    <w:p w:rsidR="00EF6B76" w:rsidRPr="00192F5C" w:rsidRDefault="00EF6B76" w:rsidP="005D0A1B">
      <w:pPr>
        <w:rPr>
          <w:rFonts w:ascii="Times New Roman" w:hAnsi="Times New Roman" w:cs="Times New Roman"/>
          <w:sz w:val="20"/>
          <w:szCs w:val="20"/>
        </w:rPr>
      </w:pPr>
    </w:p>
    <w:p w:rsidR="005418D6" w:rsidRPr="00192F5C" w:rsidRDefault="005418D6" w:rsidP="007B39B6">
      <w:pPr>
        <w:pStyle w:val="Heading1"/>
        <w:rPr>
          <w:rFonts w:ascii="Times New Roman" w:hAnsi="Times New Roman" w:cs="Times New Roman"/>
          <w:sz w:val="20"/>
          <w:szCs w:val="20"/>
        </w:rPr>
      </w:pPr>
      <w:r w:rsidRPr="00192F5C">
        <w:rPr>
          <w:rFonts w:ascii="Times New Roman" w:hAnsi="Times New Roman" w:cs="Times New Roman"/>
          <w:sz w:val="20"/>
          <w:szCs w:val="20"/>
        </w:rPr>
        <w:t>Introduction</w:t>
      </w:r>
      <w:r w:rsidR="007B39B6" w:rsidRPr="00192F5C">
        <w:rPr>
          <w:rFonts w:ascii="Times New Roman" w:hAnsi="Times New Roman" w:cs="Times New Roman"/>
          <w:sz w:val="20"/>
          <w:szCs w:val="20"/>
        </w:rPr>
        <w:t>: Institutional Classifiers</w:t>
      </w:r>
    </w:p>
    <w:p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The Rising Importance of the Carnegie Classifications</w:t>
      </w:r>
    </w:p>
    <w:p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Systems for institutional classification, ranking, and comparison are increasingly important to administrators, faculty, and students at institutions of higher education. The Carnegie Classifications for Institutions of Higher Education, the US News Ranking, and other metrics of institutional quality are utilized not only by </w:t>
      </w:r>
      <w:r w:rsidRPr="00192F5C">
        <w:rPr>
          <w:rFonts w:ascii="Times New Roman" w:hAnsi="Times New Roman" w:cs="Times New Roman"/>
          <w:sz w:val="20"/>
          <w:szCs w:val="20"/>
        </w:rPr>
        <w:lastRenderedPageBreak/>
        <w:t xml:space="preserve">students to make decisions as to where to go to pursue their education, but by prospective faculty in deciding where to pursue employment and research opportunities.  The Carnegie Classifications are intended to be used for identification of peer institutions, not to create a ranking system; however, they are often misconstrued as metrics of institutional quality. </w:t>
      </w:r>
    </w:p>
    <w:p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As such, these metrics are used to direct institutional policy. Several universities in the United States have explicitly set out policy goals directed towards improving their standing in the Carnegie Classifications.  For schools in the top group, maintenance of status is the priority – schools that are in the “Highest Research Category” implement policies intended to keep them in the top group and often market themselves as such.  The effect of institutional classifications may be more evident in the “High Research Activity” and “Higher-Research Activity” categories – several of these schools have implemented policy goals and timelines explicitly oriented towards achieving so-called R1 status. </w:t>
      </w:r>
    </w:p>
    <w:p w:rsidR="00AD20BF" w:rsidRPr="00192F5C" w:rsidRDefault="00AD20BF" w:rsidP="005D0A1B">
      <w:pPr>
        <w:rPr>
          <w:rFonts w:ascii="Times New Roman" w:hAnsi="Times New Roman" w:cs="Times New Roman"/>
          <w:sz w:val="20"/>
          <w:szCs w:val="20"/>
        </w:rPr>
      </w:pPr>
      <w:r w:rsidRPr="00192F5C">
        <w:rPr>
          <w:rFonts w:ascii="Times New Roman" w:hAnsi="Times New Roman" w:cs="Times New Roman"/>
          <w:sz w:val="20"/>
          <w:szCs w:val="20"/>
        </w:rPr>
        <w:tab/>
        <w:t>While the Carnegie Classifications, US News World Rankings, and other metrics of institutional characteristics provide interesting and useful data for decision makers at institutions, they lack reproducibility and transparency.</w:t>
      </w:r>
      <w:r w:rsidR="007B39B6" w:rsidRPr="00192F5C">
        <w:rPr>
          <w:rFonts w:ascii="Times New Roman" w:hAnsi="Times New Roman" w:cs="Times New Roman"/>
          <w:sz w:val="20"/>
          <w:szCs w:val="20"/>
        </w:rPr>
        <w:t xml:space="preserve">  This paper attempts to illustrate the concerns associated with the current available arsenal of institutional classifications, and presents an alternative classifier based on a single score from a Structural Equation Model. </w:t>
      </w:r>
    </w:p>
    <w:p w:rsidR="007B39B6" w:rsidRPr="00192F5C" w:rsidRDefault="007B39B6" w:rsidP="005D0A1B">
      <w:pPr>
        <w:rPr>
          <w:rFonts w:ascii="Times New Roman" w:hAnsi="Times New Roman" w:cs="Times New Roman"/>
          <w:sz w:val="20"/>
          <w:szCs w:val="20"/>
        </w:rPr>
      </w:pPr>
    </w:p>
    <w:p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Methodology of the Carnegie Classifications</w:t>
      </w:r>
    </w:p>
    <w:p w:rsidR="007B39B6" w:rsidRPr="00192F5C" w:rsidRDefault="007B39B6" w:rsidP="007B39B6">
      <w:pPr>
        <w:rPr>
          <w:rFonts w:ascii="Times New Roman" w:hAnsi="Times New Roman" w:cs="Times New Roman"/>
          <w:sz w:val="20"/>
          <w:szCs w:val="20"/>
        </w:rPr>
      </w:pPr>
      <w:r w:rsidRPr="00192F5C">
        <w:rPr>
          <w:rFonts w:ascii="Times New Roman" w:hAnsi="Times New Roman" w:cs="Times New Roman"/>
          <w:sz w:val="20"/>
          <w:szCs w:val="20"/>
        </w:rPr>
        <w:tab/>
        <w:t xml:space="preserve">Although the exact methodology is not documented, the Carnegie Classifications can be roughly replicated via the following high-level algorithm. The data are separated into two distinct datasets, an aggregate and a per-capita dataset. The aggregate dataset contains the following 7 variables: </w:t>
      </w:r>
    </w:p>
    <w:p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PhDs</w:t>
      </w:r>
    </w:p>
    <w:p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Humanities PhDs</w:t>
      </w:r>
    </w:p>
    <w:p w:rsidR="007B39B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Social Science PhDs</w:t>
      </w:r>
    </w:p>
    <w:p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Other PhDs</w:t>
      </w:r>
    </w:p>
    <w:p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research expenditures</w:t>
      </w:r>
    </w:p>
    <w:p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Non-Stem research expenditures</w:t>
      </w:r>
    </w:p>
    <w:p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Research Staff size</w:t>
      </w:r>
    </w:p>
    <w:p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per-capita dataset contains the last three variables mentioned above, but divides them by the size of the tenured/tenure-able faculty. </w:t>
      </w:r>
    </w:p>
    <w:p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Because the size of some of the largest universities dwarfs the size of many of the smallest institutions in the dataset, the data are highly skewed. Rather than using the raw data, the schools are </w:t>
      </w:r>
      <w:proofErr w:type="gramStart"/>
      <w:r w:rsidRPr="00192F5C">
        <w:rPr>
          <w:rFonts w:ascii="Times New Roman" w:hAnsi="Times New Roman" w:cs="Times New Roman"/>
          <w:sz w:val="20"/>
          <w:szCs w:val="20"/>
        </w:rPr>
        <w:t>ranked</w:t>
      </w:r>
      <w:proofErr w:type="gramEnd"/>
      <w:r w:rsidRPr="00192F5C">
        <w:rPr>
          <w:rFonts w:ascii="Times New Roman" w:hAnsi="Times New Roman" w:cs="Times New Roman"/>
          <w:sz w:val="20"/>
          <w:szCs w:val="20"/>
        </w:rPr>
        <w:t xml:space="preserve"> and the ranked datasets are put into two Principal Component Analyses (PCAs). The first scores from each of the PCAs are taken to form an Aggregate Index and a Per-Capita index.  In previous iterations of the Carnegie Classifications, these indices only explained between 68 and 72 percent of the variation in the underlying data.  In the 2015 update, these were 70 and 72 percent for the Aggregate and Per-Capita scales, respectively. </w:t>
      </w:r>
    </w:p>
    <w:p w:rsidR="00C20526" w:rsidRPr="00192F5C" w:rsidRDefault="005B43D5"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Aggregate scores (x-axis) for each school were plotted against the Per-Capita scores (y-axis). The plot of scores is then partitioned into thirds by hand – this is the most subjective part of the Carnegie Classifications – by drawing concentric circles that separate points in the data cloud.  Schools in the bottom left corner of the plot are in the “High Research” category, and those in the top-right corner are in the “Highest Research” category, with the “Higher Research” category in the middle. </w:t>
      </w:r>
      <w:r w:rsidR="00C20526" w:rsidRPr="00192F5C">
        <w:rPr>
          <w:rFonts w:ascii="Times New Roman" w:hAnsi="Times New Roman" w:cs="Times New Roman"/>
          <w:sz w:val="20"/>
          <w:szCs w:val="20"/>
        </w:rPr>
        <w:t xml:space="preserve"> </w:t>
      </w:r>
    </w:p>
    <w:p w:rsidR="005418D6" w:rsidRPr="00192F5C" w:rsidRDefault="005418D6" w:rsidP="005B43D5">
      <w:pPr>
        <w:pStyle w:val="Heading2"/>
        <w:rPr>
          <w:rFonts w:ascii="Times New Roman" w:hAnsi="Times New Roman" w:cs="Times New Roman"/>
          <w:sz w:val="20"/>
          <w:szCs w:val="20"/>
        </w:rPr>
      </w:pPr>
      <w:r w:rsidRPr="00192F5C">
        <w:rPr>
          <w:rFonts w:ascii="Times New Roman" w:hAnsi="Times New Roman" w:cs="Times New Roman"/>
          <w:sz w:val="20"/>
          <w:szCs w:val="20"/>
        </w:rPr>
        <w:t>Problems with the Carnegie Classifications</w:t>
      </w:r>
    </w:p>
    <w:p w:rsidR="005418D6" w:rsidRPr="00192F5C" w:rsidRDefault="005418D6"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w:t>
      </w:r>
      <w:r w:rsidRPr="00192F5C">
        <w:rPr>
          <w:rFonts w:ascii="Times New Roman" w:hAnsi="Times New Roman" w:cs="Times New Roman"/>
          <w:sz w:val="20"/>
          <w:szCs w:val="20"/>
        </w:rPr>
        <w:lastRenderedPageBreak/>
        <w:t xml:space="preserve">development.  </w:t>
      </w:r>
      <w:r w:rsidR="00BF4988" w:rsidRPr="00192F5C">
        <w:rPr>
          <w:rFonts w:ascii="Times New Roman" w:hAnsi="Times New Roman" w:cs="Times New Roman"/>
          <w:sz w:val="20"/>
          <w:szCs w:val="20"/>
        </w:rPr>
        <w:t xml:space="preserve">Some universities in the second and third tier of institutions have even gone so far as to set explicit policy goals directed at moving into the Highest Research Category. </w:t>
      </w:r>
    </w:p>
    <w:p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Universities that choose to move towards the next highest goal, however, </w:t>
      </w:r>
      <w:r w:rsidR="00134676" w:rsidRPr="00192F5C">
        <w:rPr>
          <w:rFonts w:ascii="Times New Roman" w:hAnsi="Times New Roman" w:cs="Times New Roman"/>
          <w:sz w:val="20"/>
          <w:szCs w:val="20"/>
        </w:rPr>
        <w:t>must</w:t>
      </w:r>
      <w:r w:rsidRPr="00192F5C">
        <w:rPr>
          <w:rFonts w:ascii="Times New Roman" w:hAnsi="Times New Roman" w:cs="Times New Roman"/>
          <w:sz w:val="20"/>
          <w:szCs w:val="20"/>
        </w:rPr>
        <w:t xml:space="preserve">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say STEM PhDs, could be different in the next release of the classifications. </w:t>
      </w:r>
    </w:p>
    <w:p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At some schools, this has driven the narrative that the classifications substantively changed, and that these changes resulted in shifts in the classifications for certain borderline schools. </w:t>
      </w:r>
      <w:r w:rsidR="00C92360" w:rsidRPr="00192F5C">
        <w:rPr>
          <w:rFonts w:ascii="Times New Roman" w:hAnsi="Times New Roman" w:cs="Times New Roman"/>
          <w:sz w:val="20"/>
          <w:szCs w:val="20"/>
        </w:rPr>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rsidR="005B43D5"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This illustrates an important shortcoming of the Carnegie Classifications, as their loadings can change</w:t>
      </w:r>
      <w:r w:rsidR="005B43D5" w:rsidRPr="00192F5C">
        <w:rPr>
          <w:rFonts w:ascii="Times New Roman" w:hAnsi="Times New Roman" w:cs="Times New Roman"/>
          <w:sz w:val="20"/>
          <w:szCs w:val="20"/>
        </w:rPr>
        <w:t xml:space="preserve"> from one release to another simply due to changes in the underlying data. While this is not likely to be extreme, this can affect institutions trying to move up a category because policy goals tied to sensitive metrics in the current update of </w:t>
      </w:r>
      <w:proofErr w:type="gramStart"/>
      <w:r w:rsidR="005B43D5" w:rsidRPr="00192F5C">
        <w:rPr>
          <w:rFonts w:ascii="Times New Roman" w:hAnsi="Times New Roman" w:cs="Times New Roman"/>
          <w:sz w:val="20"/>
          <w:szCs w:val="20"/>
        </w:rPr>
        <w:t>the .</w:t>
      </w:r>
      <w:proofErr w:type="gramEnd"/>
      <w:r w:rsidR="005B43D5" w:rsidRPr="00192F5C">
        <w:rPr>
          <w:rFonts w:ascii="Times New Roman" w:hAnsi="Times New Roman" w:cs="Times New Roman"/>
          <w:sz w:val="20"/>
          <w:szCs w:val="20"/>
        </w:rPr>
        <w:t xml:space="preserve"> </w:t>
      </w:r>
    </w:p>
    <w:p w:rsidR="005B43D5" w:rsidRPr="00192F5C" w:rsidRDefault="005B43D5" w:rsidP="005418D6">
      <w:pPr>
        <w:ind w:firstLine="720"/>
        <w:rPr>
          <w:rFonts w:ascii="Times New Roman" w:hAnsi="Times New Roman" w:cs="Times New Roman"/>
          <w:sz w:val="20"/>
          <w:szCs w:val="20"/>
        </w:rPr>
      </w:pPr>
    </w:p>
    <w:p w:rsidR="005B43D5" w:rsidRPr="00192F5C" w:rsidRDefault="005B43D5" w:rsidP="005418D6">
      <w:pPr>
        <w:ind w:firstLine="720"/>
        <w:rPr>
          <w:rFonts w:ascii="Times New Roman" w:hAnsi="Times New Roman" w:cs="Times New Roman"/>
          <w:sz w:val="20"/>
          <w:szCs w:val="20"/>
        </w:rPr>
      </w:pPr>
    </w:p>
    <w:p w:rsidR="00E63C2E"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 </w:t>
      </w:r>
      <w:r w:rsidR="00C92360" w:rsidRPr="00192F5C">
        <w:rPr>
          <w:rFonts w:ascii="Times New Roman" w:hAnsi="Times New Roman" w:cs="Times New Roman"/>
          <w:sz w:val="20"/>
          <w:szCs w:val="20"/>
        </w:rPr>
        <w:t xml:space="preserve"> </w:t>
      </w:r>
      <w:r w:rsidR="00283BCB" w:rsidRPr="00192F5C">
        <w:rPr>
          <w:rFonts w:ascii="Times New Roman" w:hAnsi="Times New Roman" w:cs="Times New Roman"/>
          <w:color w:val="FF0000"/>
          <w:sz w:val="20"/>
          <w:szCs w:val="20"/>
        </w:rPr>
        <w:t xml:space="preserve">The SEM will have this same </w:t>
      </w:r>
      <w:proofErr w:type="gramStart"/>
      <w:r w:rsidR="00283BCB" w:rsidRPr="00192F5C">
        <w:rPr>
          <w:rFonts w:ascii="Times New Roman" w:hAnsi="Times New Roman" w:cs="Times New Roman"/>
          <w:color w:val="FF0000"/>
          <w:sz w:val="20"/>
          <w:szCs w:val="20"/>
        </w:rPr>
        <w:t>issue</w:t>
      </w:r>
      <w:proofErr w:type="gramEnd"/>
      <w:r w:rsidR="00283BCB" w:rsidRPr="00192F5C">
        <w:rPr>
          <w:rFonts w:ascii="Times New Roman" w:hAnsi="Times New Roman" w:cs="Times New Roman"/>
          <w:color w:val="FF0000"/>
          <w:sz w:val="20"/>
          <w:szCs w:val="20"/>
        </w:rPr>
        <w:t xml:space="preserve"> but we can go back to the model and easily explain why things change from year to year. </w:t>
      </w:r>
    </w:p>
    <w:p w:rsidR="00E63C2E" w:rsidRPr="00192F5C" w:rsidRDefault="00E63C2E"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Does SEM model address this issue? Need to write a section about how SEM would do better with prior choices of loadings. </w:t>
      </w:r>
    </w:p>
    <w:p w:rsidR="00283BCB" w:rsidRPr="00192F5C" w:rsidRDefault="00283BCB" w:rsidP="005418D6">
      <w:pPr>
        <w:ind w:firstLine="720"/>
        <w:rPr>
          <w:rFonts w:ascii="Times New Roman" w:hAnsi="Times New Roman" w:cs="Times New Roman"/>
          <w:color w:val="FF0000"/>
          <w:sz w:val="20"/>
          <w:szCs w:val="20"/>
        </w:rPr>
      </w:pPr>
    </w:p>
    <w:p w:rsidR="00283BCB" w:rsidRPr="00192F5C" w:rsidRDefault="00283BCB"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Arbitrary cutoffs are a problem! Write a section about this, and how model-based clustering should be </w:t>
      </w:r>
    </w:p>
    <w:p w:rsidR="005418D6" w:rsidRPr="00192F5C" w:rsidRDefault="005418D6"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 </w:t>
      </w:r>
    </w:p>
    <w:p w:rsidR="005418D6" w:rsidRPr="00192F5C" w:rsidRDefault="00E63C2E" w:rsidP="005D0A1B">
      <w:pPr>
        <w:rPr>
          <w:rFonts w:ascii="Times New Roman" w:hAnsi="Times New Roman" w:cs="Times New Roman"/>
          <w:sz w:val="20"/>
          <w:szCs w:val="20"/>
        </w:rPr>
      </w:pPr>
      <w:r w:rsidRPr="00192F5C">
        <w:rPr>
          <w:rFonts w:ascii="Times New Roman" w:hAnsi="Times New Roman" w:cs="Times New Roman"/>
          <w:sz w:val="20"/>
          <w:szCs w:val="20"/>
        </w:rPr>
        <w:t xml:space="preserve">Additional Section on Sensitivity of the Carnegie Classifications vs. the Sensitivity of the SEM Classifications based on the </w:t>
      </w:r>
      <w:r w:rsidR="00F20D65" w:rsidRPr="00192F5C">
        <w:rPr>
          <w:rFonts w:ascii="Times New Roman" w:hAnsi="Times New Roman" w:cs="Times New Roman"/>
          <w:sz w:val="20"/>
          <w:szCs w:val="20"/>
        </w:rPr>
        <w:t xml:space="preserve">two Shiny Apps </w:t>
      </w:r>
    </w:p>
    <w:p w:rsidR="005418D6" w:rsidRPr="00192F5C" w:rsidRDefault="005418D6" w:rsidP="005D0A1B">
      <w:pPr>
        <w:rPr>
          <w:rFonts w:ascii="Times New Roman" w:hAnsi="Times New Roman" w:cs="Times New Roman"/>
          <w:sz w:val="20"/>
          <w:szCs w:val="20"/>
        </w:rPr>
      </w:pPr>
    </w:p>
    <w:p w:rsidR="00BB05B6" w:rsidRPr="00192F5C" w:rsidRDefault="00BB05B6" w:rsidP="005D0A1B">
      <w:pPr>
        <w:rPr>
          <w:rFonts w:ascii="Times New Roman" w:hAnsi="Times New Roman" w:cs="Times New Roman"/>
          <w:sz w:val="20"/>
          <w:szCs w:val="20"/>
        </w:rPr>
      </w:pPr>
    </w:p>
    <w:p w:rsidR="00BB05B6" w:rsidRPr="00192F5C" w:rsidRDefault="00BB05B6" w:rsidP="005D0A1B">
      <w:pPr>
        <w:rPr>
          <w:rFonts w:ascii="Times New Roman" w:hAnsi="Times New Roman" w:cs="Times New Roman"/>
          <w:sz w:val="20"/>
          <w:szCs w:val="20"/>
        </w:rPr>
      </w:pPr>
      <w:r w:rsidRPr="00192F5C">
        <w:rPr>
          <w:rFonts w:ascii="Times New Roman" w:hAnsi="Times New Roman" w:cs="Times New Roman"/>
          <w:sz w:val="20"/>
          <w:szCs w:val="20"/>
        </w:rPr>
        <w:t>#Conditional Panel for Shiny App</w:t>
      </w:r>
    </w:p>
    <w:p w:rsidR="00BB05B6" w:rsidRPr="00192F5C" w:rsidRDefault="00BB05B6" w:rsidP="00BB05B6">
      <w:pPr>
        <w:pStyle w:val="ListParagraph"/>
        <w:numPr>
          <w:ilvl w:val="0"/>
          <w:numId w:val="5"/>
        </w:numPr>
        <w:rPr>
          <w:rFonts w:ascii="Times New Roman" w:hAnsi="Times New Roman" w:cs="Times New Roman"/>
          <w:sz w:val="20"/>
          <w:szCs w:val="20"/>
        </w:rPr>
      </w:pPr>
      <w:r w:rsidRPr="00192F5C">
        <w:rPr>
          <w:rFonts w:ascii="Times New Roman" w:hAnsi="Times New Roman" w:cs="Times New Roman"/>
          <w:sz w:val="20"/>
          <w:szCs w:val="20"/>
        </w:rPr>
        <w:t>Might work better for having different things pop up when you select a school</w:t>
      </w:r>
    </w:p>
    <w:sectPr w:rsidR="00BB05B6" w:rsidRPr="0019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0F0A"/>
    <w:multiLevelType w:val="hybridMultilevel"/>
    <w:tmpl w:val="2144B9F0"/>
    <w:lvl w:ilvl="0" w:tplc="F9F83EE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56CD1"/>
    <w:multiLevelType w:val="hybridMultilevel"/>
    <w:tmpl w:val="C588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01"/>
    <w:multiLevelType w:val="hybridMultilevel"/>
    <w:tmpl w:val="F17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810EC"/>
    <w:multiLevelType w:val="hybridMultilevel"/>
    <w:tmpl w:val="3378F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0C"/>
    <w:rsid w:val="0005614B"/>
    <w:rsid w:val="000C4539"/>
    <w:rsid w:val="00134676"/>
    <w:rsid w:val="00192F5C"/>
    <w:rsid w:val="001D3714"/>
    <w:rsid w:val="00283BCB"/>
    <w:rsid w:val="005418D6"/>
    <w:rsid w:val="005B43D5"/>
    <w:rsid w:val="005D0A1B"/>
    <w:rsid w:val="00780971"/>
    <w:rsid w:val="007824FB"/>
    <w:rsid w:val="007B39B6"/>
    <w:rsid w:val="007F15A0"/>
    <w:rsid w:val="008E2AAB"/>
    <w:rsid w:val="0091582D"/>
    <w:rsid w:val="0093395A"/>
    <w:rsid w:val="00AB340C"/>
    <w:rsid w:val="00AC7BB0"/>
    <w:rsid w:val="00AD20BF"/>
    <w:rsid w:val="00AD533B"/>
    <w:rsid w:val="00BB05B6"/>
    <w:rsid w:val="00BF4988"/>
    <w:rsid w:val="00C20526"/>
    <w:rsid w:val="00C92360"/>
    <w:rsid w:val="00D76204"/>
    <w:rsid w:val="00E63C2E"/>
    <w:rsid w:val="00E752E5"/>
    <w:rsid w:val="00EF6B76"/>
    <w:rsid w:val="00F20D65"/>
    <w:rsid w:val="00FA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1E7A"/>
  <w15:chartTrackingRefBased/>
  <w15:docId w15:val="{72406C0C-6FF2-4A20-9223-D95E0F58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40C"/>
    <w:pPr>
      <w:ind w:left="720"/>
      <w:contextualSpacing/>
    </w:pPr>
  </w:style>
  <w:style w:type="character" w:customStyle="1" w:styleId="Heading2Char">
    <w:name w:val="Heading 2 Char"/>
    <w:basedOn w:val="DefaultParagraphFont"/>
    <w:link w:val="Heading2"/>
    <w:uiPriority w:val="9"/>
    <w:rsid w:val="007B3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Paul Harmon</cp:lastModifiedBy>
  <cp:revision>8</cp:revision>
  <dcterms:created xsi:type="dcterms:W3CDTF">2017-12-08T18:14:00Z</dcterms:created>
  <dcterms:modified xsi:type="dcterms:W3CDTF">2018-01-12T18:46:00Z</dcterms:modified>
</cp:coreProperties>
</file>