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08C26E57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</w:t>
      </w:r>
      <w:r w:rsidR="00BF400E">
        <w:t>Primary m</w:t>
      </w:r>
      <w:r w:rsidR="004D19C9">
        <w:t>entor</w:t>
      </w:r>
      <w:r w:rsidR="00BF400E">
        <w:t>s</w:t>
      </w:r>
      <w:r w:rsidR="003E39BD">
        <w:t>:</w:t>
      </w:r>
      <w:r w:rsidR="004D19C9">
        <w:t xml:space="preserve"> Jordan Carlson</w:t>
      </w:r>
      <w:r w:rsidR="00BF400E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3A4B38">
      <w:pPr>
        <w:pStyle w:val="ListParagraph"/>
        <w:numPr>
          <w:ilvl w:val="0"/>
          <w:numId w:val="7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</w:t>
      </w:r>
      <w:r w:rsidRPr="003A4B38">
        <w:rPr>
          <w:i/>
          <w:iCs/>
          <w:szCs w:val="24"/>
        </w:rPr>
        <w:lastRenderedPageBreak/>
        <w:t xml:space="preserve">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26553A">
      <w:pPr>
        <w:pStyle w:val="ListParagraph"/>
        <w:numPr>
          <w:ilvl w:val="0"/>
          <w:numId w:val="7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26553A">
      <w:pPr>
        <w:pStyle w:val="ListParagraph"/>
        <w:numPr>
          <w:ilvl w:val="0"/>
          <w:numId w:val="7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087880ED" w:rsidR="0026553A" w:rsidRDefault="0026553A" w:rsidP="0026553A">
      <w:pPr>
        <w:pStyle w:val="ListParagraph"/>
        <w:numPr>
          <w:ilvl w:val="0"/>
          <w:numId w:val="7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  <w:r w:rsidR="00EC6425">
        <w:br/>
      </w:r>
    </w:p>
    <w:p w14:paraId="045C3B4A" w14:textId="0C837809" w:rsidR="00EC6425" w:rsidRDefault="00EC6425" w:rsidP="00EC6425">
      <w:pPr>
        <w:pStyle w:val="ListParagraph"/>
        <w:numPr>
          <w:ilvl w:val="0"/>
          <w:numId w:val="7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Izbicki P, &amp; </w:t>
      </w:r>
      <w:proofErr w:type="spellStart"/>
      <w:r>
        <w:t>Krigolson</w:t>
      </w:r>
      <w:proofErr w:type="spellEnd"/>
      <w:r>
        <w:t xml:space="preserve"> O. (in Review) </w:t>
      </w:r>
      <w:r w:rsidRPr="00E3228A">
        <w:t>Finger Tapping to Different Styles of Music and Changes in Cortical Oscillations</w:t>
      </w:r>
      <w:r>
        <w:t xml:space="preserve">. </w:t>
      </w:r>
      <w:r>
        <w:rPr>
          <w:i/>
          <w:iCs/>
        </w:rPr>
        <w:t>Journal of Neuroscience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lastRenderedPageBreak/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</w:t>
      </w:r>
      <w:r>
        <w:lastRenderedPageBreak/>
        <w:t>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lastRenderedPageBreak/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66576038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D15709">
        <w:t>12</w:t>
      </w:r>
      <w:r w:rsidR="00AF238D">
        <w:t>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lastRenderedPageBreak/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60918" w14:textId="77777777" w:rsidR="003E5EDD" w:rsidRDefault="003E5EDD" w:rsidP="000C61D7">
      <w:r>
        <w:separator/>
      </w:r>
    </w:p>
  </w:endnote>
  <w:endnote w:type="continuationSeparator" w:id="0">
    <w:p w14:paraId="1385B23C" w14:textId="77777777" w:rsidR="003E5EDD" w:rsidRDefault="003E5EDD" w:rsidP="000C61D7">
      <w:r>
        <w:continuationSeparator/>
      </w:r>
    </w:p>
  </w:endnote>
  <w:endnote w:type="continuationNotice" w:id="1">
    <w:p w14:paraId="01A9D235" w14:textId="77777777" w:rsidR="003E5EDD" w:rsidRDefault="003E5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42BF0" w14:textId="77777777" w:rsidR="003E5EDD" w:rsidRDefault="003E5EDD" w:rsidP="000C61D7">
      <w:r>
        <w:separator/>
      </w:r>
    </w:p>
  </w:footnote>
  <w:footnote w:type="continuationSeparator" w:id="0">
    <w:p w14:paraId="6B140D95" w14:textId="77777777" w:rsidR="003E5EDD" w:rsidRDefault="003E5EDD" w:rsidP="000C61D7">
      <w:r>
        <w:continuationSeparator/>
      </w:r>
    </w:p>
  </w:footnote>
  <w:footnote w:type="continuationNotice" w:id="1">
    <w:p w14:paraId="46966075" w14:textId="77777777" w:rsidR="003E5EDD" w:rsidRDefault="003E5E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5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C6425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25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25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2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2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2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2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2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2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EC64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6425"/>
  </w:style>
  <w:style w:type="character" w:customStyle="1" w:styleId="Heading1Char">
    <w:name w:val="Heading 1 Char"/>
    <w:basedOn w:val="DefaultParagraphFont"/>
    <w:link w:val="Heading1"/>
    <w:uiPriority w:val="9"/>
    <w:rsid w:val="00EC6425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C6425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425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2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2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2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2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2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6425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42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2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42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C6425"/>
    <w:rPr>
      <w:b/>
      <w:bCs/>
    </w:rPr>
  </w:style>
  <w:style w:type="character" w:styleId="Emphasis">
    <w:name w:val="Emphasis"/>
    <w:uiPriority w:val="20"/>
    <w:qFormat/>
    <w:rsid w:val="00EC64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C6425"/>
  </w:style>
  <w:style w:type="paragraph" w:styleId="ListParagraph">
    <w:name w:val="List Paragraph"/>
    <w:basedOn w:val="Normal"/>
    <w:uiPriority w:val="34"/>
    <w:qFormat/>
    <w:rsid w:val="00EC64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642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4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2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25"/>
    <w:rPr>
      <w:b/>
      <w:bCs/>
      <w:i/>
      <w:iCs/>
    </w:rPr>
  </w:style>
  <w:style w:type="character" w:styleId="SubtleEmphasis">
    <w:name w:val="Subtle Emphasis"/>
    <w:uiPriority w:val="19"/>
    <w:qFormat/>
    <w:rsid w:val="00EC6425"/>
    <w:rPr>
      <w:i/>
      <w:iCs/>
    </w:rPr>
  </w:style>
  <w:style w:type="character" w:styleId="IntenseEmphasis">
    <w:name w:val="Intense Emphasis"/>
    <w:uiPriority w:val="21"/>
    <w:qFormat/>
    <w:rsid w:val="00EC6425"/>
    <w:rPr>
      <w:b/>
      <w:bCs/>
    </w:rPr>
  </w:style>
  <w:style w:type="character" w:styleId="SubtleReference">
    <w:name w:val="Subtle Reference"/>
    <w:uiPriority w:val="31"/>
    <w:qFormat/>
    <w:rsid w:val="00EC6425"/>
    <w:rPr>
      <w:smallCaps/>
    </w:rPr>
  </w:style>
  <w:style w:type="character" w:styleId="IntenseReference">
    <w:name w:val="Intense Reference"/>
    <w:uiPriority w:val="32"/>
    <w:qFormat/>
    <w:rsid w:val="00EC6425"/>
    <w:rPr>
      <w:smallCaps/>
      <w:spacing w:val="5"/>
      <w:u w:val="single"/>
    </w:rPr>
  </w:style>
  <w:style w:type="character" w:styleId="BookTitle">
    <w:name w:val="Book Title"/>
    <w:uiPriority w:val="33"/>
    <w:qFormat/>
    <w:rsid w:val="00EC642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42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C642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C6425"/>
  </w:style>
  <w:style w:type="character" w:styleId="CommentReference">
    <w:name w:val="annotation reference"/>
    <w:basedOn w:val="DefaultParagraphFont"/>
    <w:uiPriority w:val="99"/>
    <w:semiHidden/>
    <w:unhideWhenUsed/>
    <w:rsid w:val="00EC6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425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425"/>
  </w:style>
  <w:style w:type="paragraph" w:styleId="Footer">
    <w:name w:val="footer"/>
    <w:basedOn w:val="Normal"/>
    <w:link w:val="FooterChar"/>
    <w:uiPriority w:val="99"/>
    <w:unhideWhenUsed/>
    <w:rsid w:val="00EC6425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42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4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642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6425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C642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C6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675</TotalTime>
  <Pages>12</Pages>
  <Words>4271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505</cp:revision>
  <cp:lastPrinted>2017-12-10T05:17:00Z</cp:lastPrinted>
  <dcterms:created xsi:type="dcterms:W3CDTF">2019-07-01T14:31:00Z</dcterms:created>
  <dcterms:modified xsi:type="dcterms:W3CDTF">2020-10-01T01:37:00Z</dcterms:modified>
</cp:coreProperties>
</file>