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sz w:val="34"/>
          <w:szCs w:val="34"/>
        </w:rPr>
        <w:t xml:space="preserve">ПРИЛОЖЕНИЕ</w:t>
      </w:r>
    </w:p>
    <w:p>
      <w:pPr>
        <w:spacing w:after="300"/>
        <w:jc w:val="center"/>
      </w:pPr>
      <w:r>
        <w:rPr>
          <w:b/>
          <w:bCs/>
          <w:sz w:val="30"/>
          <w:szCs w:val="30"/>
        </w:rPr>
        <w:t xml:space="preserve">Описание архитектуры и исходного кода программного средства «АгроЦифра»</w:t>
      </w:r>
    </w:p>
    <w:p>
      <w:pPr>
        <w:spacing w:after="120" w:line="276"/>
        <w:jc w:val="both"/>
      </w:pPr>
      <w:r>
        <w:rPr>
          <w:b w:val="false"/>
          <w:bCs w:val="false"/>
          <w:i/>
          <w:iCs/>
        </w:rPr>
        <w:t xml:space="preserve">Материал подготовлен в формате приложения к диссертации [Инструкция ВАК, п. 19] и содержит описание архитектуры, структуры данных, реализованных методик, программных модулей и избранных листингов исходного кода автоматизированной информационной системы «АгроЦифра».</w:t>
      </w:r>
    </w:p>
    <w:p>
      <w:pPr>
        <w:spacing w:before="200"/>
        <w:jc w:val="center"/>
      </w:pPr>
      <w:r>
        <w:rPr>
          <w:sz w:val="24"/>
          <w:szCs w:val="24"/>
        </w:rPr>
        <w:t xml:space="preserve">специальность 08.00.05 · Минск, 2026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Общие сведения о программном средстве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Программное средство «АгроЦифра» — веб-ориентированная автоматизированная информационная система оценки эффективности и оптимизации цифровизации сельскохозяйственных организаций, использующих земли сельскохозяйственного назначения (растениеводство). Система является прикладным результатом диссертационного исследования (специальность 08.00.05) и реализует авторские методики оценки цифровой зрелости, эффективности цифровизации и финансово-математической оптимизации затрат.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Основные функции: ведение данных организаций и отчётных периодов; расчёт показателя цифровой зрелости; расчёт интегрального показателя эффективности цифровизации; импорт финансовой модели долгового риска; оптимальное распределение бюджета цифровизации в границах кредитоспособности; формирование отчётов и их выгрузка в форматах Word, Excel и PDF; разграничение доступа по четырём ролям.</w:t>
      </w:r>
    </w:p>
    <w:p>
      <w:pPr>
        <w:pStyle w:val="Heading1"/>
      </w:pPr>
      <w:r>
        <w:t xml:space="preserve">2. Архитектура системы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Система построена по трёхзвенной архитектуре с чётким разделением представления, прикладной логики и хранения данных: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Клиент (SPA): </w:t>
      </w:r>
      <w:r>
        <w:t xml:space="preserve">одностраничное веб-приложение на React (сборка Vite); взаимодействует с сервером по REST/JSON; визуализация — Plotly.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Сервер приложений: </w:t>
      </w:r>
      <w:r>
        <w:t xml:space="preserve">REST-API на FastAPI (Python); расчётное ядро, модуль оптимизации, ETL, формирование отчётов; аутентификация по JWT.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Хранилище: </w:t>
      </w:r>
      <w:r>
        <w:t xml:space="preserve">реляционная СУБД PostgreSQL; доступ через SQLAlchemy (ORM); миграции схемы — Alembic.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В эксплуатации компоненты разворачиваются в контейнерах (Docker Compose): обратный прокси/веб-сервер Nginx отдаёт клиентское приложение и проксирует обращения к API; сервер приложений и СУБД работают во внутренней сети.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Схема взаимодействия компонентов: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 Браузер ] → (HTTPS) → [ Nginx ]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├── /        → статика React (SPA)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└── /api/*   → [ FastAPI / Gunicorn+Uvicorn ]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│  SQLAlchemy / Alembic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▼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[ PostgreSQL ]</w:t>
      </w:r>
    </w:p>
    <w:p>
      <w:pPr>
        <w:pStyle w:val="Heading2"/>
      </w:pPr>
      <w:r>
        <w:t xml:space="preserve">2.1. Технологический стек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5"/>
      </w:tblGrid>
      <w:tr>
        <w:trPr>
          <w:tblHeader/>
        </w:trP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Уровень</w:t>
            </w:r>
          </w:p>
        </w:tc>
        <w:tc>
          <w:tcPr>
            <w:tcW w:type="dxa" w:w="7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Технологии (версии не ниже указанных)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Клиент</w:t>
            </w:r>
          </w:p>
        </w:tc>
        <w:tc>
          <w:tcPr>
            <w:tcW w:type="dxa" w:w="7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 18, Vite 5, react-router, Plotly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Сервер</w:t>
            </w:r>
          </w:p>
        </w:tc>
        <w:tc>
          <w:tcPr>
            <w:tcW w:type="dxa" w:w="7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 3.11; FastAPI 0.111; Uvicorn/Gunicorn; Pydantic 2.7; SQLAlchemy 2.0; Alembic 1.13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Расчёты/оптимизация</w:t>
            </w:r>
          </w:p>
        </w:tc>
        <w:tc>
          <w:tcPr>
            <w:tcW w:type="dxa" w:w="7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NumPy, SciPy; PuLP 2.8 (решатель CBC)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Данные/интеграции</w:t>
            </w:r>
          </w:p>
        </w:tc>
        <w:tc>
          <w:tcPr>
            <w:tcW w:type="dxa" w:w="7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PostgreSQL 15; psycopg 3; openpyxl (Excel); httpx (Jotform)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Безопасность</w:t>
            </w:r>
          </w:p>
        </w:tc>
        <w:tc>
          <w:tcPr>
            <w:tcW w:type="dxa" w:w="7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python-jose (JWT); passlib/bcrypt (хеширование паролей)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Развёртывание</w:t>
            </w:r>
          </w:p>
        </w:tc>
        <w:tc>
          <w:tcPr>
            <w:tcW w:type="dxa" w:w="7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Docker, Docker Compose, Nginx; CI — GitHub Actions</w:t>
            </w:r>
          </w:p>
        </w:tc>
      </w:tr>
    </w:tbl>
    <w:p>
      <w:pPr>
        <w:pStyle w:val="Heading1"/>
      </w:pPr>
      <w:r>
        <w:t xml:space="preserve">3. Структура базы данных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Схема включает 13 прикладных таблиц (плюс служебную таблицу версий миграций). Назначение таблиц: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55"/>
      </w:tblGrid>
      <w:tr>
        <w:trPr>
          <w:tblHeader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Таблица</w:t>
            </w:r>
          </w:p>
        </w:tc>
        <w:tc>
          <w:tcPr>
            <w:tcW w:type="dxa" w:w="6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region</w:t>
            </w:r>
          </w:p>
        </w:tc>
        <w:tc>
          <w:tcPr>
            <w:tcW w:type="dxa" w:w="6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Регионы (области) Республики Беларусь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organization</w:t>
            </w:r>
          </w:p>
        </w:tc>
        <w:tc>
          <w:tcPr>
            <w:tcW w:type="dxa" w:w="6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Сельскохозяйственные организации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user_account</w:t>
            </w:r>
          </w:p>
        </w:tc>
        <w:tc>
          <w:tcPr>
            <w:tcW w:type="dxa" w:w="6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Учётные записи пользователей и роли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reporting_period</w:t>
            </w:r>
          </w:p>
        </w:tc>
        <w:tc>
          <w:tcPr>
            <w:tcW w:type="dxa" w:w="6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Отчётные периоды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efficiency_indicator</w:t>
            </w:r>
          </w:p>
        </w:tc>
        <w:tc>
          <w:tcPr>
            <w:tcW w:type="dxa" w:w="6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Справочник показателей эффективности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project</w:t>
            </w:r>
          </w:p>
        </w:tc>
        <w:tc>
          <w:tcPr>
            <w:tcW w:type="dxa" w:w="6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Инвестиционный проект цифровизации организации (CAPEX, кредитный предел, горизонт)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digital_project_item</w:t>
            </w:r>
          </w:p>
        </w:tc>
        <w:tc>
          <w:tcPr>
            <w:tcW w:type="dxa" w:w="6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Элементы портфеля проекта (ЧДД/NPV, тип переменной)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industry_norm</w:t>
            </w:r>
          </w:p>
        </w:tc>
        <w:tc>
          <w:tcPr>
            <w:tcW w:type="dxa" w:w="6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Отраслевые нормативы (в том числе WACC)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calibration_param</w:t>
            </w:r>
          </w:p>
        </w:tc>
        <w:tc>
          <w:tcPr>
            <w:tcW w:type="dxa" w:w="6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Калибровочные параметры методик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optimization_run</w:t>
            </w:r>
          </w:p>
        </w:tc>
        <w:tc>
          <w:tcPr>
            <w:tcW w:type="dxa" w:w="6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Запуски оптимизации (параметры и результат)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raw_submission</w:t>
            </w:r>
          </w:p>
        </w:tc>
        <w:tc>
          <w:tcPr>
            <w:tcW w:type="dxa" w:w="6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«Сырые» сабмишены веб-форм (Jotform) для прослеживаемости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maturity_assessment</w:t>
            </w:r>
          </w:p>
        </w:tc>
        <w:tc>
          <w:tcPr>
            <w:tcW w:type="dxa" w:w="6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Результаты оценки цифровой зрелости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efficiency_assessment</w:t>
            </w:r>
          </w:p>
        </w:tc>
        <w:tc>
          <w:tcPr>
            <w:tcW w:type="dxa" w:w="6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Результаты оценки эффективности (индексы, КЭц, зона)</w:t>
            </w:r>
          </w:p>
        </w:tc>
      </w:tr>
    </w:tbl>
    <w:p>
      <w:pPr>
        <w:pStyle w:val="Heading1"/>
      </w:pPr>
      <w:r>
        <w:t xml:space="preserve">4. Реализованные методики и алгоритмы</w:t>
      </w:r>
    </w:p>
    <w:p>
      <w:pPr>
        <w:pStyle w:val="Heading2"/>
      </w:pPr>
      <w:r>
        <w:t xml:space="preserve">4.1. Оценка цифровой зрелости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Итоговый показатель рассчитывается как среднее геометрическое агрегированных оценок потребности (П) и возможностей (В) цифровизации: КЗ = √(П · В). Отнесение к зоне выполняется по порогам 0,134 и 0,366: менее 0,134 — низкая; от 0,134 до 0,366 — средняя; свыше 0,366 — высокая цифровая зрелость [Кандидатская_T3, п. 2.2.2]. Мультипликативная свёртка отражает взаимодополняемость потребности и возможностей и ограничивает их взаимную компенсацию.</w:t>
      </w:r>
    </w:p>
    <w:p>
      <w:pPr>
        <w:pStyle w:val="Heading2"/>
      </w:pPr>
      <w:r>
        <w:t xml:space="preserve">4.2. Интегральный показатель эффективности цифровизации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Эффективность оценивается по 12 частным показателям (по четыре экономических, экологических и социальных), сводимым в интегральный показатель КЭц по индексной формуле (13а) с пороговым значением 1,0; значение выше порога свидетельствует о результативности цифровизации. Дополнительно рассчитывается абсолютный (денежный) эффект цифровизации. Константы методики: средний коэффициент улучшения 0,10; предотвращённый ущерб 8 руб./га [Кандидатская_T3, гл. 2].</w:t>
      </w:r>
    </w:p>
    <w:p>
      <w:pPr>
        <w:pStyle w:val="Heading2"/>
      </w:pPr>
      <w:r>
        <w:t xml:space="preserve">4.3. Оптимизация затрат на цифровизацию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Задача поставлена как смешанно-целочисленная линейная (MILP) и решается средствами PuLP (решатель CBC). По каждой организации (проекту) одновременно определяются бинарный выбор финансирования xᵢ ∈ {0,1} и непрерывный объём средств fᵢ (комбинированный подход). Максимизируется суммарный эффект при бюджетном ограничении с учётом охвата организаций выше порога; объём ограничивается кредитоспособностью (capᵢ = min(стоимостьᵢ, кредитный пределᵢ)).</w:t>
      </w:r>
    </w:p>
    <w:p>
      <w:pPr>
        <w:pStyle w:val="Heading2"/>
      </w:pPr>
      <w:r>
        <w:t xml:space="preserve">4.4. Подключение модели долгового риска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Из заполненной Excel-модели «Оценка проекта и долгового риска» извлекаются стоимость проекта (суммарный CAPEX), эффект (NPV) и показатели долгового риска (DSCR/Кпз, ICR). Предел финансирования по кредитоспособности определяется как доля запаса обслуживания долга относительно норматива DSCR (1,3): при DSCR_min ниже норматива credit_limit = CAPEX · (DSCR_min / норматив); иначе ограничение не накладывается.</w:t>
      </w:r>
    </w:p>
    <w:p>
      <w:pPr>
        <w:pStyle w:val="Heading1"/>
      </w:pPr>
      <w:r>
        <w:t xml:space="preserve">5. Состав программных модулей</w:t>
      </w:r>
    </w:p>
    <w:p>
      <w:pPr>
        <w:pStyle w:val="Heading2"/>
      </w:pPr>
      <w:r>
        <w:t xml:space="preserve">5.1. Серверные службы (backend/app/services)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Модуль</w:t>
            </w:r>
          </w:p>
        </w:tc>
        <w:tc>
          <w:tcPr>
            <w:tcW w:type="dxa" w:w="63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calculations.py</w:t>
            </w:r>
          </w:p>
        </w:tc>
        <w:tc>
          <w:tcPr>
            <w:tcW w:type="dxa" w:w="63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Базовые расчёты: зоны зрелости, среднее геометрическое, DSCR/ICR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efficiency.py</w:t>
            </w:r>
          </w:p>
        </w:tc>
        <w:tc>
          <w:tcPr>
            <w:tcW w:type="dxa" w:w="63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Расчёт 12 показателей и интегрального КЭц, денежный эффект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optimization.py</w:t>
            </w:r>
          </w:p>
        </w:tc>
        <w:tc>
          <w:tcPr>
            <w:tcW w:type="dxa" w:w="63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MILP-оптимизация распределения затрат (PuLP/CBC)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debt_risk_model.py</w:t>
            </w:r>
          </w:p>
        </w:tc>
        <w:tc>
          <w:tcPr>
            <w:tcW w:type="dxa" w:w="63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Разбор Excel-модели долгового риска; формирование кандидатов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reporting.py</w:t>
            </w:r>
          </w:p>
        </w:tc>
        <w:tc>
          <w:tcPr>
            <w:tcW w:type="dxa" w:w="63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Агрегаты и сводки для отчётов и дашбордов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exporters.py</w:t>
            </w:r>
          </w:p>
        </w:tc>
        <w:tc>
          <w:tcPr>
            <w:tcW w:type="dxa" w:w="63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Выгрузка отчётов в Word, Excel, PDF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etl.py</w:t>
            </w:r>
          </w:p>
        </w:tc>
        <w:tc>
          <w:tcPr>
            <w:tcW w:type="dxa" w:w="63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Загрузка/синхронизация данных (Excel, Jotform); сохранение проектов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importers.py</w:t>
            </w:r>
          </w:p>
        </w:tc>
        <w:tc>
          <w:tcPr>
            <w:tcW w:type="dxa" w:w="63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Разбор пилотных Excel-выгрузок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jotform_client.py / jotform_mapping.py</w:t>
            </w:r>
          </w:p>
        </w:tc>
        <w:tc>
          <w:tcPr>
            <w:tcW w:type="dxa" w:w="63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Клиент Jotform и сопоставление полей форм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normalize.py</w:t>
            </w:r>
          </w:p>
        </w:tc>
        <w:tc>
          <w:tcPr>
            <w:tcW w:type="dxa" w:w="63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Нормализация значений показателей</w:t>
            </w:r>
          </w:p>
        </w:tc>
      </w:tr>
    </w:tbl>
    <w:p>
      <w:pPr>
        <w:pStyle w:val="Heading2"/>
      </w:pPr>
      <w:r>
        <w:t xml:space="preserve">5.2. Клиентские компоненты (frontend/src/components)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Login (вход), Layout (навигация и разметка), Dashboard (сводный экран), Organizations (организации), Assessments (списки оценок), EfficiencyForm и MaturityForm (ввод и расчёт оценок), Reports (графики и экспорт), Optimization (импорт модели и оптимизация распределения).</w:t>
      </w:r>
    </w:p>
    <w:p>
      <w:pPr>
        <w:pStyle w:val="Heading1"/>
      </w:pPr>
      <w:r>
        <w:t xml:space="preserve">6. Программный интерфейс (REST API)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Основные группы эндпоинтов (полное описание доступно в интерактивной документации OpenAPI по адресу /docs):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55"/>
        <w:gridCol w:w="200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Метод и путь</w:t>
            </w:r>
          </w:p>
        </w:tc>
        <w:tc>
          <w:tcPr>
            <w:tcW w:type="dxa" w:w="3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Доступ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 /auth/login</w:t>
            </w:r>
          </w:p>
        </w:tc>
        <w:tc>
          <w:tcPr>
            <w:tcW w:type="dxa" w:w="3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Аутентификация, выдача JWT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все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 /health, /version</w:t>
            </w:r>
          </w:p>
        </w:tc>
        <w:tc>
          <w:tcPr>
            <w:tcW w:type="dxa" w:w="3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Служебные проверки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все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 /calc/hurwicz, /integral, /dscr</w:t>
            </w:r>
          </w:p>
        </w:tc>
        <w:tc>
          <w:tcPr>
            <w:tcW w:type="dxa" w:w="3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Расчётные операции ядра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авторизованные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 /data/assessments/maturity</w:t>
            </w:r>
          </w:p>
        </w:tc>
        <w:tc>
          <w:tcPr>
            <w:tcW w:type="dxa" w:w="3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Расчёт и сохранение оценки зрелости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организация, офис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 /data/assessments/efficiency</w:t>
            </w:r>
          </w:p>
        </w:tc>
        <w:tc>
          <w:tcPr>
            <w:tcW w:type="dxa" w:w="3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Расчёт и сохранение оценки эффективности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организация, офис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 /data/etl/import/excel/*</w:t>
            </w:r>
          </w:p>
        </w:tc>
        <w:tc>
          <w:tcPr>
            <w:tcW w:type="dxa" w:w="3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Импорт данных из Excel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организация, офис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 /data/etl/jotform/*/sync</w:t>
            </w:r>
          </w:p>
        </w:tc>
        <w:tc>
          <w:tcPr>
            <w:tcW w:type="dxa" w:w="3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Синхронизация из Jotform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организация, офис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 /reports/summary</w:t>
            </w:r>
          </w:p>
        </w:tc>
        <w:tc>
          <w:tcPr>
            <w:tcW w:type="dxa" w:w="3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Сводные показатели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авторизованные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 /reports/export.{xlsx,docx,pdf}</w:t>
            </w:r>
          </w:p>
        </w:tc>
        <w:tc>
          <w:tcPr>
            <w:tcW w:type="dxa" w:w="3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Выгрузка отчётов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авторизованные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 /optimization/projects/import-model</w:t>
            </w:r>
          </w:p>
        </w:tc>
        <w:tc>
          <w:tcPr>
            <w:tcW w:type="dxa" w:w="3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Импорт модели долгового риска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офис, госорган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 /optimization/run</w:t>
            </w:r>
          </w:p>
        </w:tc>
        <w:tc>
          <w:tcPr>
            <w:tcW w:type="dxa" w:w="3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Запуск оптимизации распределения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офис, госорган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 /optimization/runs, /runs/{id}</w:t>
            </w:r>
          </w:p>
        </w:tc>
        <w:tc>
          <w:tcPr>
            <w:tcW w:type="dxa" w:w="38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История и результаты оптимизации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авторизованные</w:t>
            </w:r>
          </w:p>
        </w:tc>
      </w:tr>
    </w:tbl>
    <w:p>
      <w:pPr>
        <w:pStyle w:val="Heading1"/>
      </w:pPr>
      <w:r>
        <w:t xml:space="preserve">7. Безопасность и разграничение доступа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Аутентификация — по логину и паролю; пароли хранятся в виде криптографических хешей (bcrypt). После входа выдаётся подписанный токен (JWT) с ограниченным сроком действия; токен передаётся в заголовке Authorization при каждом запросе. Авторизация реализована на основе ролей (RBAC): операции изменения данных, импорта модели и оптимизации доступны только соответствующим ролям (см. матрицу доступа в руководстве пользователя). В рабочей конфигурации секретный ключ и параметры доступа задаются через переменные окружения, демонстрационные учётные записи отключаются.</w:t>
      </w:r>
    </w:p>
    <w:p>
      <w:pPr>
        <w:pStyle w:val="Heading1"/>
      </w:pPr>
      <w:r>
        <w:t xml:space="preserve">8. Развёртывание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Развёртывание выполняется на одном сервере средствами Docker Compose (СУБД, сервер приложений, веб-сервер). При старте сервер приложений автоматически применяет миграции базы данных. Предусмотрены непрерывная интеграция (GitHub Actions: линтинг, проверка миграций, модульные и сквозные тесты, сборка образов), нагрузочное тестирование (Locust) и резервное копирование БД. Подробное описание приведено в эксплуатационной документации (docs/Развертывание.md).</w:t>
      </w:r>
    </w:p>
    <w:p>
      <w:pPr>
        <w:pStyle w:val="Heading1"/>
      </w:pPr>
      <w:r>
        <w:t xml:space="preserve">9. Избранные листинги исходного кода</w:t>
      </w:r>
    </w:p>
    <w:p>
      <w:pPr>
        <w:pStyle w:val="Heading2"/>
      </w:pPr>
      <w:r>
        <w:t xml:space="preserve">9.1. Итоговый показатель цифровой зрелости (среднее геометрическое)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digital_maturity(need_scores, capability_scores) -&gt; dict: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need_scores or not capability_scores: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ValueError("need_scores and capability_scores must be non-empty")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need_agg = sum(need_scores) / len(need_scores)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capability_agg = sum(capability_scores) / len(capability_scores)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value = math.sqrt(max(need_agg, 0.0) * max(capability_agg, 0.0))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{"need": need_agg, "capability": capability_agg,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"value": value, "zone": digital_maturity_zone(value)}</w:t>
      </w:r>
    </w:p>
    <w:p>
      <w:pPr>
        <w:pStyle w:val="Heading2"/>
      </w:pPr>
      <w:r>
        <w:t xml:space="preserve">9.2. Предел финансирования по кредитоспособности (долговой риск)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credit_limit_from_finance(pf, dscr_norm=DSCR_NORM_DEFAULT):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pf.dscr_min is None or pf.dscr_min &gt;= dscr_norm: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round(pf.capex_total * max(pf.dscr_min, 0.0) / dscr_norm, 2)</w:t>
      </w:r>
    </w:p>
    <w:p>
      <w:pPr>
        <w:pStyle w:val="Heading2"/>
      </w:pPr>
      <w:r>
        <w:t xml:space="preserve">9.3. Целевая функция и ключевые ограничения оптимизации (PuLP)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целевая функция: суммарный эффект + взвешенный охват выше порога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prob += pulp.lpSum((c.effect / c.cost) * f[c.key] for c in cands) \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+ coverage_weight * pulp.lpSum(x[c.key] for c in cands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if c.score &gt;= threshold)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ограничения по каждому проекту (cap = min(cost, credit_limit))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prob += f[c.key] &lt;= cap(c) * x[c.key]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prob += f[c.key] &gt;= min_share * c.cost * x[c.key]   # масштабируемый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бюджетное ограничение</w:t>
      </w:r>
    </w:p>
    <w:p>
      <w:pPr>
        <w:shd w:fill="F4F4F4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prob += pulp.lpSum(f.values()) &lt;= budget</w:t>
      </w:r>
    </w:p>
    <w:p>
      <w:pPr>
        <w:pStyle w:val="Heading1"/>
      </w:pPr>
      <w:r>
        <w:t xml:space="preserve">10. Объём и состав исходного кода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Прикладной код системы составляет около 3,8 тыс. строк, в том числе серверная часть (Python) — около 2,8 тыс. строк, клиентская часть (JavaScript/JSX) — около 1,0 тыс. строк. Автоматизированные тесты — около 1,1 тыс. строк (92 теста, включая сквозной сценарий). Исходный код организован в репозитории Git со следующей структурой верхнего уровня: backend/ (сервер и тесты), frontend/ (клиент), docs/ (документация), loadtest/ (нагрузочное тестирование), scripts/ (резервное копирование), а также файлы развёртывания (docker-compose.yml, Dockerfile) и непрерывной интеграции (.github/workflows).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АгроЦифра — описание архитектуры и исходного кода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архитектуры и исходного кода АгроЦифра</dc:title>
  <dc:creator>АгроЦифра</dc:creator>
  <cp:lastModifiedBy>Un-named</cp:lastModifiedBy>
  <cp:revision>1</cp:revision>
  <dcterms:created xsi:type="dcterms:W3CDTF">2026-06-04T16:18:16.875Z</dcterms:created>
  <dcterms:modified xsi:type="dcterms:W3CDTF">2026-06-04T16:18:16.875Z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