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sz w:val="36"/>
          <w:szCs w:val="36"/>
        </w:rPr>
        <w:t xml:space="preserve">РУКОВОДСТВО ПОЛЬЗОВАТЕЛЯ</w:t>
      </w:r>
    </w:p>
    <w:p>
      <w:pPr>
        <w:spacing w:after="80"/>
        <w:jc w:val="center"/>
      </w:pPr>
      <w:r>
        <w:rPr>
          <w:sz w:val="30"/>
          <w:szCs w:val="30"/>
        </w:rPr>
        <w:t xml:space="preserve">автоматизированная информационная система «АгроЦифра»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оценка эффективности и оптимизация цифровизации сельскохозяйственных организаций (растениеводство)</w:t>
      </w:r>
    </w:p>
    <w:p>
      <w:pPr>
        <w:spacing w:after="80"/>
        <w:jc w:val="center"/>
      </w:pPr>
      <w:r>
        <w:rPr>
          <w:sz w:val="24"/>
          <w:szCs w:val="24"/>
        </w:rPr>
        <w:t xml:space="preserve">Приложение к диссертации на соискание учёной степени кандидата экономических наук</w:t>
      </w:r>
    </w:p>
    <w:p>
      <w:pPr>
        <w:spacing w:after="1200"/>
        <w:jc w:val="center"/>
      </w:pPr>
      <w:r>
        <w:rPr>
          <w:sz w:val="24"/>
          <w:szCs w:val="24"/>
        </w:rPr>
        <w:t xml:space="preserve">специальность 08.00.05</w:t>
      </w:r>
    </w:p>
    <w:p>
      <w:pPr>
        <w:jc w:val="center"/>
      </w:pPr>
      <w:r>
        <w:rPr>
          <w:sz w:val="24"/>
          <w:szCs w:val="24"/>
        </w:rPr>
        <w:t xml:space="preserve">Минск,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Введение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Настоящее руководство описывает порядок работы пользователей с автоматизированной информационной системой «АгроЦифра» (далее — система). Система предназначена для оценки уровня цифровой зрелости и эффективности цифровизации (цифровой трансформации) сельскохозяйственных организаций, использующих земли сельскохозяйственного назначения, а также для оптимального распределения средств на цифровизацию в границах кредитоспособности.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Система реализует методики, изложенные в диссертационном исследовании: оценку цифровой зрелости как среднее геометрическое агрегированных оценок потребности и возможностей, расчёт интегрального показателя эффективности цифровизации и финансово-математический модуль оптимизации затрат.</w:t>
      </w:r>
    </w:p>
    <w:p>
      <w:pPr>
        <w:pStyle w:val="Heading2"/>
      </w:pPr>
      <w:r>
        <w:t xml:space="preserve">1.1. Термины и обозначения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Цифровая зрелость — интегральная характеристика готовности организации к цифровизации, рассчитываемая как среднее геометрическое оценок потребности (П) и возможностей (В): КЗ = √(П · В).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Интегральный показатель эффективности (КЭц) — относительная оценка результата цифровизации с пороговым значением 1,0.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DSCR (Кпз) — коэффициент покрытия задолженности; используется как граница кредитоспособности при оптимизации.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Роль — набор полномочий пользователя в системе (четыре роли, см. раздел 2).</w:t>
      </w:r>
    </w:p>
    <w:p>
      <w:pPr>
        <w:pStyle w:val="Heading1"/>
      </w:pPr>
      <w:r>
        <w:t xml:space="preserve">2. Доступ к системе и роли пользователей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Доступ к системе осуществляется через веб-браузер. На странице входа пользователь вводит логин и пароль; после успешной аутентификации выдаётся защищённый сеансовый токен (JWT), а состав доступных разделов определяется ролью.</w:t>
      </w:r>
    </w:p>
    <w:p>
      <w:pPr>
        <w:pStyle w:val="Heading2"/>
      </w:pPr>
      <w:r>
        <w:t xml:space="preserve">2.1. Роли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Организация — ввод исходных данных и формирование оценок по своей организации.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Региональный оператор — просмотр и анализ показателей организаций региона (области).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Офис цифровизации — формирование оценок, импорт финансовой модели, оптимизация затрат, отчёты.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Государственный орган — сводная аналитика, оптимизация распределения бюджета, отчёты.</w:t>
      </w:r>
    </w:p>
    <w:p>
      <w:pPr>
        <w:pStyle w:val="Heading2"/>
      </w:pPr>
      <w:r>
        <w:t xml:space="preserve">2.2. Матрица доступа к функциям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1575"/>
        <w:gridCol w:w="1575"/>
        <w:gridCol w:w="1575"/>
        <w:gridCol w:w="1575"/>
      </w:tblGrid>
      <w:tr>
        <w:trPr>
          <w:tblHeader/>
        </w:trPr>
        <w:tc>
          <w:tcPr>
            <w:tcW w:type="dxa" w:w="3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Функция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Организация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Регион. оператор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Офис цифровизации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Госорган</w:t>
            </w:r>
          </w:p>
        </w:tc>
      </w:tr>
      <w:tr>
        <w:tc>
          <w:tcPr>
            <w:tcW w:type="dxa" w:w="3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Вход, дашборд, просмотр оценок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Ввод данных и расчёт оценок (эффективность, зрелость)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Отчёты и экспорт (Word, Excel, PDF)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Импорт модели долгового риска (.xlsx)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Оптимизация затрат на цифровизацию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</w:tbl>
    <w:p>
      <w:pPr>
        <w:spacing w:after="120" w:line="276"/>
        <w:jc w:val="both"/>
      </w:pPr>
      <w:r>
        <w:rPr>
          <w:i/>
          <w:iCs/>
        </w:rPr>
        <w:t xml:space="preserve">Демонстрационные учётные записи (для апробации): </w:t>
      </w:r>
      <w:r>
        <w:rPr>
          <w:i/>
          <w:iCs/>
        </w:rPr>
        <w:t xml:space="preserve">org / region / office / gov (пароли вида *123). В рабочей эксплуатации демонстрационные записи отключаются, пароли изменяются.</w:t>
      </w:r>
    </w:p>
    <w:p>
      <w:pPr>
        <w:pStyle w:val="Heading1"/>
      </w:pPr>
      <w:r>
        <w:t xml:space="preserve">3. Общие элементы интерфейса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После входа отображается панель навигации с разделами: «Дашборд», «Организации», «Оценки», «Отчёты» и (для офиса цифровизации и госоргана) «Оптимизация». Раздел ввода данных доступен ролям «Организация» и «Офис цифровизации».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Дашборд — сводные показатели и быстрые переходы.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Организации — перечень организаций и их карточки.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Оценки — списки выполненных оценок эффективности и цифровой зрелости.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Отчёты — интерактивные графики (Plotly) и выгрузка в Word/Excel/PDF.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Оптимизация — распределение бюджета цифровизации с учётом кредитоспособности.</w:t>
      </w:r>
    </w:p>
    <w:p>
      <w:pPr>
        <w:pStyle w:val="Heading1"/>
      </w:pPr>
      <w:r>
        <w:t xml:space="preserve">4. Работа в роли «Организация»</w:t>
      </w:r>
    </w:p>
    <w:p>
      <w:pPr>
        <w:pStyle w:val="Heading2"/>
      </w:pPr>
      <w:r>
        <w:t xml:space="preserve">4.1. Оценка цифровой зрелости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Раздел «Оценки» → форма «Цифровая зрелость». Введите наименование организации и средние значения по потребности и возможностям цифровизации; система рассчитает итоговый показатель как среднее геометрическое и отнесёт организацию к зоне: низкая (менее 0,134), средняя (0,134–0,366) или высокая (свыше 0,366).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t xml:space="preserve">Откройте «Оценки» → «Цифровая зрелость».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t xml:space="preserve">Укажите наименование организации.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t xml:space="preserve">Введите среднюю оценку потребности (П) и среднюю оценку возможностей (В).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t xml:space="preserve">Нажмите «Рассчитать» — отобразится значение КЗ и зона зрелости; результат сохраняется.</w:t>
      </w:r>
    </w:p>
    <w:p>
      <w:pPr>
        <w:pStyle w:val="Heading2"/>
      </w:pPr>
      <w:r>
        <w:t xml:space="preserve">4.2. Оценка эффективности цифровизации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Раздел «Оценки» → форма «Эффективность». Введите показатели «до» и «после» цифровизации (затраты, площадь, урожайность, расход ГСМ, производительность труда, налоговые платежи, прибыль). Система рассчитает интегральный показатель КЭц и сопоставит его с пороговым значением 1,0; значение выше порога свидетельствует о результативности цифровизации.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Исходные данные могут быть также загружены массивом из файла Excel или синхронизированы из веб-форм Jotform (для уполномоченных ролей).</w:t>
      </w:r>
    </w:p>
    <w:p>
      <w:pPr>
        <w:pStyle w:val="Heading1"/>
      </w:pPr>
      <w:r>
        <w:t xml:space="preserve">5. Работа в роли «Региональный оператор»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Роль обеспечивает просмотр и анализ показателей организаций региона. В разделах «Организации» и «Оценки» доступны перечни и карточки с результатами оценок эффективности и зрелости; в разделе «Отчёты» — сравнительные графики и выгрузка. Ввод исходных данных в данной роли не предусмотрен.</w:t>
      </w:r>
    </w:p>
    <w:p>
      <w:pPr>
        <w:pStyle w:val="Heading1"/>
      </w:pPr>
      <w:r>
        <w:t xml:space="preserve">6. Работа в роли «Офис цифровизации»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Роль объединяет полномочия по вводу данных и расчёту оценок (раздел 4), а также по импорту финансовой модели и оптимизации затрат.</w:t>
      </w:r>
    </w:p>
    <w:p>
      <w:pPr>
        <w:pStyle w:val="Heading2"/>
      </w:pPr>
      <w:r>
        <w:t xml:space="preserve">6.1. Импорт модели долгового риска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Раздел «Оптимизация» → «Загрузить модель (.xlsx)». Укажите наименование организации и выберите заполненный файл модели «Оценка проекта и долгового риска». Система извлечёт стоимость проекта (суммарный CAPEX), эффект (NPV) и определит предел финансирования по кредитоспособности (на основе запаса DSCR относительно норматива 1,3); эти значения автоматически подставляются в таблицу проектов.</w:t>
      </w:r>
    </w:p>
    <w:p>
      <w:pPr>
        <w:pStyle w:val="Heading2"/>
      </w:pPr>
      <w:r>
        <w:t xml:space="preserve">6.2. Оптимизация затрат на цифровизацию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В разделе «Оптимизация» задайте бюджет, порог эффективности/зрелости и (при необходимости) вес охвата организаций выше порога. В таблице проектов укажите по каждой организации стоимость, эффект, тип финансирования (масштабируемый/«всё или ничего»), оценку (КЭц или зрелость) и при наличии — кредитный предел. Нажмите «Рассчитать распределение».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Результат включает: суммарный эффект, использованный бюджет (и его долю), число отобранных организаций и число организаций выше порога, диаграмму распределения финансирования и таблицу решений по каждой организации (финансировать/отклонить, объём, доля, эффект).</w:t>
      </w:r>
    </w:p>
    <w:p>
      <w:pPr>
        <w:spacing w:after="120" w:line="276"/>
        <w:jc w:val="both"/>
      </w:pPr>
      <w:r>
        <w:rPr>
          <w:b/>
          <w:bCs/>
        </w:rPr>
        <w:t xml:space="preserve">Комбинированный подход: </w:t>
      </w:r>
      <w:r>
        <w:t xml:space="preserve">по каждой организации одновременно принимается решение о финансировании (бинарно) и назначается объём средств (непрерывно) в пределах кредитоспособности; максимизируется суммарный эффект при бюджетном ограничении.</w:t>
      </w:r>
    </w:p>
    <w:p>
      <w:pPr>
        <w:pStyle w:val="Heading1"/>
      </w:pPr>
      <w:r>
        <w:t xml:space="preserve">7. Работа в роли «Государственный орган»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Роль обеспечивает сводную аналитику по организациям и регионам, оптимизацию распределения бюджета цифровизации (раздел 6.2) и выгрузку отчётов. Ввод первичных данных в данной роли не предусмотрен; используется агрегированная информация, сформированная организациями и офисом цифровизации.</w:t>
      </w:r>
    </w:p>
    <w:p>
      <w:pPr>
        <w:pStyle w:val="Heading1"/>
      </w:pPr>
      <w:r>
        <w:t xml:space="preserve">8. Формирование и экспорт отчётов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Раздел «Отчёты» содержит интерактивные графики (показатели эффективности и зрелости по организациям, средние значения по регионам) и сравнительные виды «до/после» внедрения цифровых технологий. Выгрузка доступна в трёх форматах: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Word (.docx) — пояснительный отчёт с таблицами (для приложений к диссертации);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Excel (.xlsx) — табличные данные для дальнейшей обработки;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PDF (.pdf) — отчёт для печати и рассылки.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Для выгрузки выберите формат и нажмите соответствующую кнопку экспорта; файл будет сформирован сервером и загружен в браузер.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Приложение. Демонстрационный сценарий для защиты (5–7 мин.)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Сценарий предназначен для демонстрации функционала системы при защите. Рекомендуемый хронометраж — 5–7 минут; используются демонстрационные данные семи пилотных организаций.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4055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Время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Действие на экране</w:t>
            </w:r>
          </w:p>
        </w:tc>
        <w:tc>
          <w:tcPr>
            <w:tcW w:type="dxa" w:w="4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 докладчика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0:00–0:40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Вход под ролью «Офис цифровизации»; обзор навигации и дашборда</w:t>
            </w:r>
          </w:p>
        </w:tc>
        <w:tc>
          <w:tcPr>
            <w:tcW w:type="dxa" w:w="4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Назначение системы: оценка зрелости, эффективности и оптимизация затрат на цифровизацию растениеводства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0:40–2:00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«Оценки» → «Цифровая зрелость»: ввод П и В для организации, расчёт КЗ = √(П·В)</w:t>
            </w:r>
          </w:p>
        </w:tc>
        <w:tc>
          <w:tcPr>
            <w:tcW w:type="dxa" w:w="4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Методика среднего геометрического; зоны 0,134 и 0,366; почему мультипликативная свёртка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2:00–3:20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«Оценки» → «Эффективность»: расчёт интегрального КЭц; порог 1,0</w:t>
            </w:r>
          </w:p>
        </w:tc>
        <w:tc>
          <w:tcPr>
            <w:tcW w:type="dxa" w:w="4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Состав 12 показателей; среднее по семи организациям — 1,00; четыре организации выше порога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3:20–4:10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«Отчёты»: графики по организациям и регионам; выгрузка в PDF/Excel</w:t>
            </w:r>
          </w:p>
        </w:tc>
        <w:tc>
          <w:tcPr>
            <w:tcW w:type="dxa" w:w="4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Сравнение «до/после»; пригодность для приложений к диссертации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4:10–5:30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«Оптимизация» → «Загрузить модель (.xlsx)»; импорт CAPEX/NPV/предела</w:t>
            </w:r>
          </w:p>
        </w:tc>
        <w:tc>
          <w:tcPr>
            <w:tcW w:type="dxa" w:w="4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Связь с финансовой моделью долгового риска; границы кредитоспособности (DSCR)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5:30–7:00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«Оптимизация»: бюджет, порог, расчёт распределения; диаграмма и таблица решений</w:t>
            </w:r>
          </w:p>
        </w:tc>
        <w:tc>
          <w:tcPr>
            <w:tcW w:type="dxa" w:w="40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Комбинированный подход; финансирование ограничено кредитоспособностью; максимизация эффекта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/>
          <w:iCs/>
        </w:rPr>
        <w:t xml:space="preserve">По завершении демонстрации подчёркивается научная новизна: переход к среднему геометрическому, авторская методика интегральной оценки и финансово-математический модуль оптимизации в границах долгового риска.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АгроЦифра —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АгроЦифра</dc:title>
  <dc:creator>АгроЦифра</dc:creator>
  <cp:lastModifiedBy>Un-named</cp:lastModifiedBy>
  <cp:revision>1</cp:revision>
  <dcterms:created xsi:type="dcterms:W3CDTF">2026-06-04T16:15:45.786Z</dcterms:created>
  <dcterms:modified xsi:type="dcterms:W3CDTF">2026-06-04T16:15:45.786Z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