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b/>
          <w:color w:val="8D1D2C"/>
          <w:sz w:val="30"/>
        </w:rPr>
        <w:t>LO5 · Sprint cadence and control</w:t>
      </w:r>
    </w:p>
    <w:p>
      <w:pPr>
        <w:spacing w:after="160"/>
      </w:pPr>
      <w:r>
        <w:rPr>
          <w:i/>
          <w:color w:val="555555"/>
        </w:rPr>
        <w:t>How the project is planned, built, reviewed, and adapted over time. The intent is to make the methodology defendable: not just that the work happened in iterations, but that each change has an antecedent. This document is a companion to the ERA AI Agent Development Plan, which is in the portfolio under the Analyzing LO. The plan is the timeline; this is the reasoning behind the changes between iterations.</w:t>
      </w:r>
    </w:p>
    <w:p>
      <w:pPr>
        <w:spacing w:before="240" w:after="60"/>
      </w:pPr>
      <w:r>
        <w:rPr>
          <w:b/>
          <w:sz w:val="24"/>
        </w:rPr>
        <w:t>1. The cadence I work in</w:t>
      </w:r>
    </w:p>
    <w:p>
      <w:pPr>
        <w:pStyle w:val="ListBullet"/>
        <w:spacing w:after="40"/>
      </w:pPr>
      <w:r>
        <w:t>The project is built in phases, each delivering a usable feature to the stakeholder before moving on. The early phases delivered chat and document analysis; later phases added drafting, invoicing, the custom offer, the general description, and the self-service portfolio.</w:t>
      </w:r>
    </w:p>
    <w:p>
      <w:pPr>
        <w:pStyle w:val="ListBullet"/>
        <w:spacing w:after="40"/>
      </w:pPr>
      <w:r>
        <w:t>Each unit of work has a clear goal, the need behind it, the implementation, and a verification step before it is considered done.</w:t>
      </w:r>
    </w:p>
    <w:p>
      <w:pPr>
        <w:pStyle w:val="ListBullet"/>
        <w:spacing w:after="40"/>
      </w:pPr>
      <w:r>
        <w:t>Definition of done: reachable on the live Railway deployment, the render-and-inspect loop passes for any document change, and the change is a commit with a descriptive message.</w:t>
      </w:r>
    </w:p>
    <w:p>
      <w:pPr>
        <w:pStyle w:val="ListBullet"/>
        <w:spacing w:after="40"/>
      </w:pPr>
      <w:r>
        <w:t>Tooling: the development plan is the board; the git log is the event stream. No Jira or Linear for a solo team.</w:t>
      </w:r>
    </w:p>
    <w:p>
      <w:pPr>
        <w:spacing w:before="240" w:after="60"/>
      </w:pPr>
      <w:r>
        <w:rPr>
          <w:b/>
          <w:sz w:val="24"/>
        </w:rPr>
        <w:t>2. How control shows up in the commit history</w:t>
      </w:r>
    </w:p>
    <w:p>
      <w:pPr>
        <w:pStyle w:val="ListBullet"/>
        <w:spacing w:after="40"/>
      </w:pPr>
      <w:r>
        <w:t>Commit messages use an ADD:, FIX:, DEL: convention so the log is filterable as a retrospective record.</w:t>
      </w:r>
    </w:p>
    <w:p>
      <w:pPr>
        <w:pStyle w:val="ListBullet"/>
        <w:spacing w:after="40"/>
      </w:pPr>
      <w:r>
        <w:t>Risky work is split so a regression can be isolated. The clearest example is the data-driven slide work: the data layer shipped first with the decks unchanged (commit 8d4a794), and the generation change shipped second (commit 0d0aa51). If the decks had broken, the cause would have been unambiguous.</w:t>
      </w:r>
    </w:p>
    <w:p>
      <w:pPr>
        <w:pStyle w:val="ListBullet"/>
        <w:spacing w:after="40"/>
      </w:pPr>
      <w:r>
        <w:t>Reversible-first sequencing: the store was built, seeded, and proven to reproduce the existing decks before the generator was switched to read from it, so the visible output never regressed during the change.</w:t>
      </w:r>
    </w:p>
    <w:p>
      <w:pPr>
        <w:spacing w:before="240" w:after="60"/>
      </w:pPr>
      <w:r>
        <w:rPr>
          <w:b/>
          <w:sz w:val="24"/>
        </w:rPr>
        <w:t>3. Iteration-by-iteration control, recent and traceable</w:t>
      </w:r>
    </w:p>
    <w:p>
      <w:pPr>
        <w:pStyle w:val="ListBullet"/>
        <w:spacing w:after="40"/>
      </w:pPr>
      <w:r>
        <w:t>Custom offer. Need: the firm sends tailored offers and doing them by hand is slow. Built the offer generator with an AI-composed cover letter and the never-invent-numbers fee rule (commits 4dfb65f, 3a4376c). Review found the cover letter from free-text context worked well, so the pattern was carried forward.</w:t>
      </w:r>
    </w:p>
    <w:p>
      <w:pPr>
        <w:pStyle w:val="ListBullet"/>
        <w:spacing w:after="40"/>
      </w:pPr>
      <w:r>
        <w:t>General description. Need: a full firm-credentials brochure in English and a complete Romanian version. Built the generator and translated the deck (commits d6b5cc8, 31d4581). Review surfaced a slide-2 formatting defect, which was fixed and visually verified before moving on.</w:t>
      </w:r>
    </w:p>
    <w:p>
      <w:pPr>
        <w:pStyle w:val="ListBullet"/>
        <w:spacing w:after="40"/>
      </w:pPr>
      <w:r>
        <w:t>Self-service portfolio. Need: the stakeholder wanted to maintain the project list himself. Built the data store, the pagination engine, and the dashboard (commits 8d4a794, 0d0aa51, 56904ef). Review confirmed the seed data reproduces the original deck and that overflow paginates safely.</w:t>
      </w:r>
    </w:p>
    <w:p>
      <w:pPr>
        <w:spacing w:before="240" w:after="60"/>
      </w:pPr>
      <w:r>
        <w:rPr>
          <w:b/>
          <w:sz w:val="24"/>
        </w:rPr>
        <w:t>4. What I track during an iteration</w:t>
      </w:r>
    </w:p>
    <w:p>
      <w:pPr>
        <w:pStyle w:val="ListBullet"/>
        <w:spacing w:after="40"/>
      </w:pPr>
      <w:r>
        <w:t>The commit log, filterable by prefix.</w:t>
      </w:r>
    </w:p>
    <w:p>
      <w:pPr>
        <w:pStyle w:val="ListBullet"/>
        <w:spacing w:after="40"/>
      </w:pPr>
      <w:r>
        <w:t>The development plan bullets as tasks land.</w:t>
      </w:r>
    </w:p>
    <w:p>
      <w:pPr>
        <w:pStyle w:val="ListBullet"/>
        <w:spacing w:after="40"/>
      </w:pPr>
      <w:r>
        <w:t>The render-and-inspect pass for any document change; a failed inspection is the next task, not a shipped change.</w:t>
      </w:r>
    </w:p>
    <w:p>
      <w:pPr>
        <w:spacing w:before="240" w:after="60"/>
      </w:pPr>
      <w:r>
        <w:rPr>
          <w:b/>
          <w:sz w:val="24"/>
        </w:rPr>
        <w:t>5. What I deliberately do not track</w:t>
      </w:r>
    </w:p>
    <w:p>
      <w:pPr>
        <w:pStyle w:val="ListBullet"/>
        <w:spacing w:after="40"/>
      </w:pPr>
      <w:r>
        <w:t>Story points and velocity: meaningless for a solo team.</w:t>
      </w:r>
    </w:p>
    <w:p>
      <w:pPr>
        <w:pStyle w:val="ListBullet"/>
        <w:spacing w:after="40"/>
      </w:pPr>
      <w:r>
        <w:t>Burndown charts: same reason.</w:t>
      </w:r>
    </w:p>
    <w:p>
      <w:pPr>
        <w:pStyle w:val="ListBullet"/>
        <w:spacing w:after="40"/>
      </w:pPr>
      <w:r>
        <w:t>Separate grooming meetings: the next iteration is groomed by writing its entry in the development plan at the end of the previous one.</w:t>
      </w:r>
    </w:p>
    <w:p>
      <w:pPr>
        <w:spacing w:before="240" w:after="60"/>
      </w:pPr>
      <w:r>
        <w:rPr>
          <w:b/>
          <w:sz w:val="24"/>
        </w:rPr>
        <w:t>6. How scope is controlled when work grows</w:t>
      </w:r>
    </w:p>
    <w:p>
      <w:pPr>
        <w:spacing w:after="120"/>
      </w:pPr>
      <w:r>
        <w:t>A concrete case: the self-service portfolio grew from a single editing page into a data layer, a pagination engine, and a dashboard across several commits. The control was to sequence it so each commit was independently safe and the visible output never regressed, rather than attempting it as one large change. The honest cost is that the custom-offer generator is not yet wired to the store; that was deliberately deferred and recorded rather than rushed.</w:t>
      </w:r>
    </w:p>
    <w:p>
      <w:pPr>
        <w:spacing w:before="240" w:after="60"/>
      </w:pPr>
      <w:r>
        <w:rPr>
          <w:b/>
          <w:sz w:val="24"/>
        </w:rPr>
        <w:t>7. Stakeholder feedback loop</w:t>
      </w:r>
    </w:p>
    <w:p>
      <w:pPr>
        <w:spacing w:after="120"/>
      </w:pPr>
      <w:r>
        <w:t>The stakeholder, the firm partner, is the source of most adaptations: the dual-role agent, the editable portfolio, and the choice to keep documents in the firm's exact visual identity all came from his needs. The developer is also a legitimate stakeholder: the persistence and verification work funds the system's long-term reliability even though no end user asked for it directly.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