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00" w:before="300"/>
        <w:jc w:val="center"/>
      </w:pPr>
      <w:r>
        <w:rPr>
          <w:rFonts w:ascii="Arial" w:cs="Arial" w:eastAsia="Arial" w:hAnsi="Arial"/>
          <w:b/>
          <w:bCs/>
          <w:color w:val="1B4F6A"/>
          <w:sz w:val="52"/>
          <w:szCs w:val="52"/>
        </w:rPr>
        <w:t xml:space="preserve">COMPTE RENDU DE PROJET</w:t>
      </w:r>
    </w:p>
    <w:p>
      <w:pPr>
        <w:spacing w:after="80" w:before="0"/>
        <w:jc w:val="center"/>
      </w:pPr>
      <w:r>
        <w:rPr>
          <w:rFonts w:ascii="Arial" w:cs="Arial" w:eastAsia="Arial" w:hAnsi="Arial"/>
          <w:b/>
          <w:bCs/>
          <w:color w:val="A0632A"/>
          <w:sz w:val="32"/>
          <w:szCs w:val="32"/>
        </w:rPr>
        <w:t xml:space="preserve">Mise en place d’une campagne de simulation de phishing</w:t>
      </w:r>
    </w:p>
    <w:p>
      <w:pPr>
        <w:spacing w:after="60" w:before="80"/>
        <w:jc w:val="center"/>
      </w:pPr>
      <w:r>
        <w:rPr>
          <w:rFonts w:ascii="Arial" w:cs="Arial" w:eastAsia="Arial" w:hAnsi="Arial"/>
          <w:i/>
          <w:iCs/>
          <w:color w:val="333333"/>
          <w:sz w:val="24"/>
          <w:szCs w:val="24"/>
        </w:rPr>
        <w:t xml:space="preserve">Association des Guides et Scouts d’Europe (AGSE)</w:t>
      </w:r>
    </w:p>
    <w:p>
      <w:pPr>
        <w:spacing w:after="80" w:before="8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500"/>
        <w:gridCol w:w="6860"/>
      </w:tblGrid>
      <w:tr>
        <w:trPr>
          <w:tblHeader/>
        </w:trPr>
        <w:tc>
          <w:tcPr>
            <w:tcW w:type="dxa" w:w="2500"/>
            <w:shd w:fill="1B4F6A"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6860"/>
            <w:shd w:fill="1B4F6A" w:val="clear"/>
            <w:tcMar>
              <w:top w:type="dxa" w:w="100"/>
              <w:left w:type="dxa" w:w="150"/>
              <w:bottom w:type="dxa" w:w="100"/>
              <w:right w:type="dxa" w:w="150"/>
            </w:tcMar>
          </w:tcPr>
          <w:p>
            <w:r>
              <w:rPr>
                <w:rFonts w:ascii="Arial" w:cs="Arial" w:eastAsia="Arial" w:hAnsi="Arial"/>
                <w:b/>
                <w:bCs/>
                <w:color w:val="FFFFFF"/>
                <w:sz w:val="20"/>
                <w:szCs w:val="20"/>
              </w:rPr>
              <w:t xml:space="preserve"/>
            </w:r>
          </w:p>
        </w:tc>
      </w:tr>
      <w:tr>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Candidat</w:t>
            </w:r>
          </w:p>
        </w:tc>
        <w:tc>
          <w:tcPr>
            <w:tcW w:type="dxa" w:w="6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Paula Ciacan</w:t>
            </w:r>
          </w:p>
        </w:tc>
      </w:tr>
      <w:tr>
        <w:tc>
          <w:tcPr>
            <w:tcW w:type="dxa" w:w="2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Entreprise</w:t>
            </w:r>
          </w:p>
        </w:tc>
        <w:tc>
          <w:tcPr>
            <w:tcW w:type="dxa" w:w="68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Jesto Informatique</w:t>
            </w:r>
          </w:p>
        </w:tc>
      </w:tr>
      <w:tr>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Client</w:t>
            </w:r>
          </w:p>
        </w:tc>
        <w:tc>
          <w:tcPr>
            <w:tcW w:type="dxa" w:w="6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AGSE – scouts-europe.org</w:t>
            </w:r>
          </w:p>
        </w:tc>
      </w:tr>
      <w:tr>
        <w:tc>
          <w:tcPr>
            <w:tcW w:type="dxa" w:w="2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Période</w:t>
            </w:r>
          </w:p>
        </w:tc>
        <w:tc>
          <w:tcPr>
            <w:tcW w:type="dxa" w:w="68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Février – Mai 2026</w:t>
            </w:r>
          </w:p>
        </w:tc>
      </w:tr>
      <w:tr>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Technologies</w:t>
            </w:r>
          </w:p>
        </w:tc>
        <w:tc>
          <w:tcPr>
            <w:tcW w:type="dxa" w:w="6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GoPhish, Postfix, Nginx, Debian 13</w:t>
            </w:r>
          </w:p>
        </w:tc>
      </w:tr>
      <w:tr>
        <w:tc>
          <w:tcPr>
            <w:tcW w:type="dxa" w:w="2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Durée</w:t>
            </w:r>
          </w:p>
        </w:tc>
        <w:tc>
          <w:tcPr>
            <w:tcW w:type="dxa" w:w="68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~3 mois</w:t>
            </w:r>
          </w:p>
        </w:tc>
      </w:tr>
    </w:tbl>
    <w:p>
      <w:r>
        <w:br w:type="page"/>
      </w:r>
    </w:p>
    <w:p>
      <w:pPr>
        <w:pStyle w:val="Heading1"/>
        <w:pBdr>
          <w:bottom w:val="single" w:color="1B4F6A" w:sz="4" w:space="4"/>
        </w:pBdr>
        <w:spacing w:after="160" w:before="480"/>
      </w:pPr>
      <w:r>
        <w:rPr>
          <w:rFonts w:ascii="Arial" w:cs="Arial" w:eastAsia="Arial" w:hAnsi="Arial"/>
          <w:b/>
          <w:bCs/>
          <w:color w:val="1B4F6A"/>
          <w:sz w:val="32"/>
          <w:szCs w:val="32"/>
        </w:rPr>
        <w:t xml:space="preserve">1. Contexte et présentation de l’entreprise</w:t>
      </w:r>
    </w:p>
    <w:p>
      <w:pPr>
        <w:pStyle w:val="Heading2"/>
        <w:spacing w:after="120" w:before="280"/>
      </w:pPr>
      <w:r>
        <w:rPr>
          <w:rFonts w:ascii="Arial" w:cs="Arial" w:eastAsia="Arial" w:hAnsi="Arial"/>
          <w:b/>
          <w:bCs/>
          <w:color w:val="A0632A"/>
          <w:sz w:val="26"/>
          <w:szCs w:val="26"/>
        </w:rPr>
        <w:t xml:space="preserve">1.1 Jesto Informatique</w:t>
      </w:r>
    </w:p>
    <w:p>
      <w:pPr>
        <w:spacing w:after="80" w:before="80"/>
      </w:pPr>
      <w:r>
        <w:rPr>
          <w:rFonts w:ascii="Arial" w:cs="Arial" w:eastAsia="Arial" w:hAnsi="Arial"/>
          <w:color w:val="333333"/>
          <w:sz w:val="22"/>
          <w:szCs w:val="22"/>
        </w:rPr>
        <w:t xml:space="preserve">Jesto Informatique est une société de services informatiques (ESN) dont la mission est d’accompagner ses clients dans la gestion, la sécurisation et l’évolution de leurs systèmes d’information. Ses prestations couvrent notamment l’administration système et réseau, la cybersécurité, le support utilisateur et le conseil en transformation numérique.</w:t>
      </w:r>
    </w:p>
    <w:p>
      <w:pPr>
        <w:spacing w:after="80" w:before="80"/>
      </w:pPr>
      <w:r>
        <w:rPr>
          <w:rFonts w:ascii="Arial" w:cs="Arial" w:eastAsia="Arial" w:hAnsi="Arial"/>
          <w:color w:val="333333"/>
          <w:sz w:val="22"/>
          <w:szCs w:val="22"/>
        </w:rPr>
        <w:t xml:space="preserve">Dans le cadre de ma formation BTS SIO (Services Informatiques aux Organisations), j’effectue mon alternance au sein de Jesto Informatique où je participe à des missions techniques variées auprès des clients de l’entreprise.</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1.2 Le client : l’Association des Guides et Scouts d’Europe</w:t>
      </w:r>
    </w:p>
    <w:p>
      <w:pPr>
        <w:spacing w:after="80" w:before="80"/>
      </w:pPr>
      <w:r>
        <w:rPr>
          <w:rFonts w:ascii="Arial" w:cs="Arial" w:eastAsia="Arial" w:hAnsi="Arial"/>
          <w:color w:val="333333"/>
          <w:sz w:val="22"/>
          <w:szCs w:val="22"/>
        </w:rPr>
        <w:t xml:space="preserve">L’Association des Guides et Scouts d’Europe (AGSE) est une association loi 1901 dont l’activité principale est l’encadrement et la formation de jeunes scouts à travers la France et l’Europe. Elle regroupe des salariés et des bénévoles, organisés autour de deux environnements de messagerie distincts :</w:t>
      </w:r>
    </w:p>
    <w:p>
      <w:pPr>
        <w:pStyle w:val="ListParagraph"/>
        <w:numPr>
          <w:ilvl w:val="0"/>
          <w:numId w:val="2"/>
        </w:numPr>
        <w:spacing w:after="60" w:before="60"/>
      </w:pPr>
      <w:r>
        <w:rPr>
          <w:rFonts w:ascii="Arial" w:cs="Arial" w:eastAsia="Arial" w:hAnsi="Arial"/>
          <w:color w:val="333333"/>
          <w:sz w:val="22"/>
          <w:szCs w:val="22"/>
        </w:rPr>
        <w:t xml:space="preserve">Google Workspace : utilisé par les bénévoles (domaine scouts-europe.org)</w:t>
      </w:r>
    </w:p>
    <w:p>
      <w:pPr>
        <w:pStyle w:val="ListParagraph"/>
        <w:numPr>
          <w:ilvl w:val="0"/>
          <w:numId w:val="2"/>
        </w:numPr>
        <w:spacing w:after="60" w:before="60"/>
      </w:pPr>
      <w:r>
        <w:rPr>
          <w:rFonts w:ascii="Arial" w:cs="Arial" w:eastAsia="Arial" w:hAnsi="Arial"/>
          <w:color w:val="333333"/>
          <w:sz w:val="22"/>
          <w:szCs w:val="22"/>
        </w:rPr>
        <w:t xml:space="preserve">Microsoft 365 : utilisé par les salariés</w:t>
      </w:r>
    </w:p>
    <w:p>
      <w:pPr>
        <w:spacing w:after="80" w:before="80"/>
      </w:pPr>
      <w:r>
        <w:rPr>
          <w:rFonts w:ascii="Arial" w:cs="Arial" w:eastAsia="Arial" w:hAnsi="Arial"/>
          <w:color w:val="333333"/>
          <w:sz w:val="22"/>
          <w:szCs w:val="22"/>
        </w:rPr>
        <w:t xml:space="preserve">La mission a été confiée à Jesto Informatique par la directrice des opérations informatiques de l’association, dans le cadre d’une démarche proactive de sensibilisation à la cybersécurité.</w:t>
      </w:r>
    </w:p>
    <w:p>
      <w:pPr>
        <w:spacing w:after="80" w:before="80"/>
      </w:pPr>
      <w:r>
        <w:t xml:space="preserve"/>
      </w:r>
    </w:p>
    <w:p>
      <w:pPr>
        <w:pStyle w:val="Heading1"/>
        <w:pBdr>
          <w:bottom w:val="single" w:color="1B4F6A" w:sz="4" w:space="4"/>
        </w:pBdr>
        <w:spacing w:after="160" w:before="480"/>
      </w:pPr>
      <w:r>
        <w:rPr>
          <w:rFonts w:ascii="Arial" w:cs="Arial" w:eastAsia="Arial" w:hAnsi="Arial"/>
          <w:b/>
          <w:bCs/>
          <w:color w:val="1B4F6A"/>
          <w:sz w:val="32"/>
          <w:szCs w:val="32"/>
        </w:rPr>
        <w:t xml:space="preserve">2. Présentation du projet et objectifs</w:t>
      </w:r>
    </w:p>
    <w:p>
      <w:pPr>
        <w:pStyle w:val="Heading2"/>
        <w:spacing w:after="120" w:before="280"/>
      </w:pPr>
      <w:r>
        <w:rPr>
          <w:rFonts w:ascii="Arial" w:cs="Arial" w:eastAsia="Arial" w:hAnsi="Arial"/>
          <w:b/>
          <w:bCs/>
          <w:color w:val="A0632A"/>
          <w:sz w:val="26"/>
          <w:szCs w:val="26"/>
        </w:rPr>
        <w:t xml:space="preserve">2.1 Problématique</w:t>
      </w:r>
    </w:p>
    <w:p>
      <w:pPr>
        <w:spacing w:after="80" w:before="80"/>
      </w:pPr>
      <w:r>
        <w:rPr>
          <w:rFonts w:ascii="Arial" w:cs="Arial" w:eastAsia="Arial" w:hAnsi="Arial"/>
          <w:color w:val="333333"/>
          <w:sz w:val="22"/>
          <w:szCs w:val="22"/>
        </w:rPr>
        <w:t xml:space="preserve">Le phishing représente aujourd’hui plus de 80 % des cyberattaques réussies dans les organisations. Il consiste à envoyer des courriels frauduleux imitant des services légitimes pour inciter les destinataires à divulguer leurs identifiants ou à installer des logiciels malveillants.</w:t>
      </w:r>
    </w:p>
    <w:p>
      <w:pPr>
        <w:spacing w:after="80" w:before="80"/>
      </w:pPr>
      <w:r>
        <w:rPr>
          <w:rFonts w:ascii="Arial" w:cs="Arial" w:eastAsia="Arial" w:hAnsi="Arial"/>
          <w:color w:val="333333"/>
          <w:sz w:val="22"/>
          <w:szCs w:val="22"/>
        </w:rPr>
        <w:t xml:space="preserve">L’AGSE, comme de nombreuses associations, dispose d’une population de bénévoles peu sensibilisée aux risques informatiques. Une compromission de compte Google Workspace pourrait exposer des données personnelles de membres mineurs, des informations financières ou des documents internes confidentiels.</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2.2 Objectifs du projet</w:t>
      </w:r>
    </w:p>
    <w:p>
      <w:pPr>
        <w:pStyle w:val="ListParagraph"/>
        <w:numPr>
          <w:ilvl w:val="0"/>
          <w:numId w:val="2"/>
        </w:numPr>
        <w:spacing w:after="60" w:before="60"/>
      </w:pPr>
      <w:r>
        <w:rPr>
          <w:rFonts w:ascii="Arial" w:cs="Arial" w:eastAsia="Arial" w:hAnsi="Arial"/>
          <w:color w:val="333333"/>
          <w:sz w:val="22"/>
          <w:szCs w:val="22"/>
        </w:rPr>
        <w:t xml:space="preserve">Évaluer le niveau de vigilance des bénévoles face aux tentatives de phishing</w:t>
      </w:r>
    </w:p>
    <w:p>
      <w:pPr>
        <w:pStyle w:val="ListParagraph"/>
        <w:numPr>
          <w:ilvl w:val="0"/>
          <w:numId w:val="2"/>
        </w:numPr>
        <w:spacing w:after="60" w:before="60"/>
      </w:pPr>
      <w:r>
        <w:rPr>
          <w:rFonts w:ascii="Arial" w:cs="Arial" w:eastAsia="Arial" w:hAnsi="Arial"/>
          <w:color w:val="333333"/>
          <w:sz w:val="22"/>
          <w:szCs w:val="22"/>
        </w:rPr>
        <w:t xml:space="preserve">Identifier les profils les plus vulnérables pour cibler les formations</w:t>
      </w:r>
    </w:p>
    <w:p>
      <w:pPr>
        <w:pStyle w:val="ListParagraph"/>
        <w:numPr>
          <w:ilvl w:val="0"/>
          <w:numId w:val="2"/>
        </w:numPr>
        <w:spacing w:after="60" w:before="60"/>
      </w:pPr>
      <w:r>
        <w:rPr>
          <w:rFonts w:ascii="Arial" w:cs="Arial" w:eastAsia="Arial" w:hAnsi="Arial"/>
          <w:color w:val="333333"/>
          <w:sz w:val="22"/>
          <w:szCs w:val="22"/>
        </w:rPr>
        <w:t xml:space="preserve">Mettre en place une infrastructure de simulation réutilisable pour des campagnes futures</w:t>
      </w:r>
    </w:p>
    <w:p>
      <w:pPr>
        <w:pStyle w:val="ListParagraph"/>
        <w:numPr>
          <w:ilvl w:val="0"/>
          <w:numId w:val="2"/>
        </w:numPr>
        <w:spacing w:after="60" w:before="60"/>
      </w:pPr>
      <w:r>
        <w:rPr>
          <w:rFonts w:ascii="Arial" w:cs="Arial" w:eastAsia="Arial" w:hAnsi="Arial"/>
          <w:color w:val="333333"/>
          <w:sz w:val="22"/>
          <w:szCs w:val="22"/>
        </w:rPr>
        <w:t xml:space="preserve">Produire un rapport permettant à la direction de prendre des décisions éclairées</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2.3 Périmètre</w:t>
      </w:r>
    </w:p>
    <w:p>
      <w:pPr>
        <w:spacing w:after="80" w:before="80"/>
      </w:pPr>
      <w:r>
        <w:rPr>
          <w:rFonts w:ascii="Arial" w:cs="Arial" w:eastAsia="Arial" w:hAnsi="Arial"/>
          <w:color w:val="333333"/>
          <w:sz w:val="22"/>
          <w:szCs w:val="22"/>
        </w:rPr>
        <w:t xml:space="preserve">La campagne cible uniquement les 513 bénévoles disposant de comptes Google Workspace (@scouts-europe.org). Les salariés Microsoft 365 sont exclus du périmètre car la protection Safe Links de Microsoft Defender aurait faussi les résultats en réécriturant automatiquement les liens de phishing et en générant de faux clics via des scans automatiques.</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2.4 Chronologie du projet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000"/>
        <w:gridCol w:w="7360"/>
      </w:tblGrid>
      <w:tr>
        <w:trPr>
          <w:tblHeader/>
        </w:trPr>
        <w:tc>
          <w:tcPr>
            <w:tcW w:type="dxa" w:w="2000"/>
            <w:shd w:fill="1B4F6A" w:val="clear"/>
            <w:tcMar>
              <w:top w:type="dxa" w:w="100"/>
              <w:left w:type="dxa" w:w="150"/>
              <w:bottom w:type="dxa" w:w="100"/>
              <w:right w:type="dxa" w:w="150"/>
            </w:tcMar>
          </w:tcPr>
          <w:p>
            <w:r>
              <w:rPr>
                <w:rFonts w:ascii="Arial" w:cs="Arial" w:eastAsia="Arial" w:hAnsi="Arial"/>
                <w:b/>
                <w:bCs/>
                <w:color w:val="FFFFFF"/>
                <w:sz w:val="20"/>
                <w:szCs w:val="20"/>
              </w:rPr>
              <w:t xml:space="preserve">Période</w:t>
            </w:r>
          </w:p>
        </w:tc>
        <w:tc>
          <w:tcPr>
            <w:tcW w:type="dxa" w:w="7360"/>
            <w:shd w:fill="1B4F6A" w:val="clear"/>
            <w:tcMar>
              <w:top w:type="dxa" w:w="100"/>
              <w:left w:type="dxa" w:w="150"/>
              <w:bottom w:type="dxa" w:w="100"/>
              <w:right w:type="dxa" w:w="150"/>
            </w:tcMar>
          </w:tcPr>
          <w:p>
            <w:r>
              <w:rPr>
                <w:rFonts w:ascii="Arial" w:cs="Arial" w:eastAsia="Arial" w:hAnsi="Arial"/>
                <w:b/>
                <w:bCs/>
                <w:color w:val="FFFFFF"/>
                <w:sz w:val="20"/>
                <w:szCs w:val="20"/>
              </w:rPr>
              <w:t xml:space="preserve">Étape</w:t>
            </w:r>
          </w:p>
        </w:tc>
      </w:tr>
      <w:tr>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Février 2026</w:t>
            </w:r>
          </w:p>
        </w:tc>
        <w:tc>
          <w:tcPr>
            <w:tcW w:type="dxa" w:w="7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Cadrage du projet, autorisation formelle, choix de la solution</w:t>
            </w:r>
          </w:p>
        </w:tc>
      </w:tr>
      <w:tr>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Mars 2026</w:t>
            </w:r>
          </w:p>
        </w:tc>
        <w:tc>
          <w:tcPr>
            <w:tcW w:type="dxa" w:w="7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Déploiement des VPS OVHcloud, installation de GoPhish et Postfix, premiers tests d’envoi</w:t>
            </w:r>
          </w:p>
        </w:tc>
      </w:tr>
      <w:tr>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Avril 2026</w:t>
            </w:r>
          </w:p>
        </w:tc>
        <w:tc>
          <w:tcPr>
            <w:tcW w:type="dxa" w:w="7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Configuration SMTP, DNS, certificats SSL, résolution des problèmes d’authentification</w:t>
            </w:r>
          </w:p>
        </w:tc>
      </w:tr>
      <w:tr>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Mai 2026</w:t>
            </w:r>
          </w:p>
        </w:tc>
        <w:tc>
          <w:tcPr>
            <w:tcW w:type="dxa" w:w="7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Finalisation des templates, tests finaux, lancement de la campagne (5 mai 2026), analyse des résultats</w:t>
            </w:r>
          </w:p>
        </w:tc>
      </w:tr>
    </w:tbl>
    <w:p>
      <w:pPr>
        <w:spacing w:after="80" w:before="80"/>
      </w:pPr>
      <w:r>
        <w:t xml:space="preserve"/>
      </w:r>
    </w:p>
    <w:p>
      <w:r>
        <w:br w:type="page"/>
      </w:r>
    </w:p>
    <w:p>
      <w:pPr>
        <w:pStyle w:val="Heading1"/>
        <w:pBdr>
          <w:bottom w:val="single" w:color="1B4F6A" w:sz="4" w:space="4"/>
        </w:pBdr>
        <w:spacing w:after="160" w:before="480"/>
      </w:pPr>
      <w:r>
        <w:rPr>
          <w:rFonts w:ascii="Arial" w:cs="Arial" w:eastAsia="Arial" w:hAnsi="Arial"/>
          <w:b/>
          <w:bCs/>
          <w:color w:val="1B4F6A"/>
          <w:sz w:val="32"/>
          <w:szCs w:val="32"/>
        </w:rPr>
        <w:t xml:space="preserve">3. Cadre juridique et éthique</w:t>
      </w:r>
    </w:p>
    <w:p>
      <w:pPr>
        <w:pStyle w:val="Heading2"/>
        <w:spacing w:after="120" w:before="280"/>
      </w:pPr>
      <w:r>
        <w:rPr>
          <w:rFonts w:ascii="Arial" w:cs="Arial" w:eastAsia="Arial" w:hAnsi="Arial"/>
          <w:b/>
          <w:bCs/>
          <w:color w:val="A0632A"/>
          <w:sz w:val="26"/>
          <w:szCs w:val="26"/>
        </w:rPr>
        <w:t xml:space="preserve">3.1 Cadre légal</w:t>
      </w:r>
    </w:p>
    <w:p>
      <w:pPr>
        <w:spacing w:after="80" w:before="80"/>
      </w:pPr>
      <w:r>
        <w:rPr>
          <w:rFonts w:ascii="Arial" w:cs="Arial" w:eastAsia="Arial" w:hAnsi="Arial"/>
          <w:color w:val="333333"/>
          <w:sz w:val="22"/>
          <w:szCs w:val="22"/>
        </w:rPr>
        <w:t xml:space="preserve">En France, la réalisation d’une campagne de phishing simulée est encadrée par plusieurs textes législatifs. Sans autorisation préalable, de tels actes sont susceptibles de tomber sous le coup de l’article 323-1 du Code pénal relatif à l’accès frauduleux à un système de traitement automatisé de données (STAD), passible de 2 ans d’emprisonnement et 60 000 € d’amende.</w:t>
      </w:r>
    </w:p>
    <w:p>
      <w:pPr>
        <w:pBdr>
          <w:left w:val="single" w:color="A0632A" w:sz="12" w:space="8"/>
        </w:pBdr>
        <w:spacing w:after="120" w:before="120"/>
        <w:ind w:left="720" w:right="720"/>
      </w:pPr>
      <w:r>
        <w:rPr>
          <w:rFonts w:ascii="Arial" w:cs="Arial" w:eastAsia="Arial" w:hAnsi="Arial"/>
          <w:i/>
          <w:iCs/>
          <w:color w:val="555555"/>
          <w:sz w:val="20"/>
          <w:szCs w:val="20"/>
        </w:rPr>
        <w:t xml:space="preserve">Article 323-1 du Code pénal : « Le fait d’accéder ou de se maintenir, frauduleusement, dans tout ou partie d’un système de traitement automatisé de données est puni de deux ans d’emprisonnement et de 60 000 euros d’amende. »</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3.2 Autorisation et périmètre</w:t>
      </w:r>
    </w:p>
    <w:p>
      <w:pPr>
        <w:pStyle w:val="ListParagraph"/>
        <w:numPr>
          <w:ilvl w:val="0"/>
          <w:numId w:val="2"/>
        </w:numPr>
        <w:spacing w:after="60" w:before="60"/>
      </w:pPr>
      <w:r>
        <w:rPr>
          <w:rFonts w:ascii="Arial" w:cs="Arial" w:eastAsia="Arial" w:hAnsi="Arial"/>
          <w:color w:val="333333"/>
          <w:sz w:val="22"/>
          <w:szCs w:val="22"/>
        </w:rPr>
        <w:t xml:space="preserve">Autorisation écrite formelle de la directrice des opérations informatiques de l’AGSE, précisant le périmètre, les dates et les objectifs de la campagne</w:t>
      </w:r>
    </w:p>
    <w:p>
      <w:pPr>
        <w:pStyle w:val="ListParagraph"/>
        <w:numPr>
          <w:ilvl w:val="0"/>
          <w:numId w:val="2"/>
        </w:numPr>
        <w:spacing w:after="60" w:before="60"/>
      </w:pPr>
      <w:r>
        <w:rPr>
          <w:rFonts w:ascii="Arial" w:cs="Arial" w:eastAsia="Arial" w:hAnsi="Arial"/>
          <w:color w:val="333333"/>
          <w:sz w:val="22"/>
          <w:szCs w:val="22"/>
        </w:rPr>
        <w:t xml:space="preserve">Périmètre strictement défini : uniquement les bénévoles disposant de comptes @scouts-europe.org</w:t>
      </w:r>
    </w:p>
    <w:p>
      <w:pPr>
        <w:pStyle w:val="ListParagraph"/>
        <w:numPr>
          <w:ilvl w:val="0"/>
          <w:numId w:val="2"/>
        </w:numPr>
        <w:spacing w:after="60" w:before="60"/>
      </w:pPr>
      <w:r>
        <w:rPr>
          <w:rFonts w:ascii="Arial" w:cs="Arial" w:eastAsia="Arial" w:hAnsi="Arial"/>
          <w:color w:val="333333"/>
          <w:sz w:val="22"/>
          <w:szCs w:val="22"/>
        </w:rPr>
        <w:t xml:space="preserve">Infrastructure dédiée : domaine et serveurs séparés du SI de l’association pour éviter tout impact sur la production</w:t>
      </w:r>
    </w:p>
    <w:p>
      <w:pPr>
        <w:spacing w:after="80" w:before="80"/>
      </w:pPr>
      <w:r>
        <w:rPr>
          <w:rFonts w:ascii="Arial" w:cs="Arial" w:eastAsia="Arial" w:hAnsi="Arial"/>
          <w:i/>
          <w:iCs/>
          <w:color w:val="555555"/>
          <w:sz w:val="22"/>
          <w:szCs w:val="22"/>
        </w:rPr>
        <w:t xml:space="preserve">Limite identifiée : Pour une conformité juridique optimale, il aurait été préférable d’obtenir une validation du bureau directeur ou de la présidence, et de mentionner la possibilité de tests de sécurité dans la charte informatique des bénévoles.</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3.3 Conformité RGPD</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500"/>
        <w:gridCol w:w="5860"/>
      </w:tblGrid>
      <w:tr>
        <w:trPr>
          <w:tblHeader/>
        </w:trPr>
        <w:tc>
          <w:tcPr>
            <w:tcW w:type="dxa" w:w="3500"/>
            <w:shd w:fill="1B4F6A" w:val="clear"/>
            <w:tcMar>
              <w:top w:type="dxa" w:w="100"/>
              <w:left w:type="dxa" w:w="150"/>
              <w:bottom w:type="dxa" w:w="100"/>
              <w:right w:type="dxa" w:w="150"/>
            </w:tcMar>
          </w:tcPr>
          <w:p>
            <w:r>
              <w:rPr>
                <w:rFonts w:ascii="Arial" w:cs="Arial" w:eastAsia="Arial" w:hAnsi="Arial"/>
                <w:b/>
                <w:bCs/>
                <w:color w:val="FFFFFF"/>
                <w:sz w:val="20"/>
                <w:szCs w:val="20"/>
              </w:rPr>
              <w:t xml:space="preserve">Obligation RGPD</w:t>
            </w:r>
          </w:p>
        </w:tc>
        <w:tc>
          <w:tcPr>
            <w:tcW w:type="dxa" w:w="5860"/>
            <w:shd w:fill="1B4F6A" w:val="clear"/>
            <w:tcMar>
              <w:top w:type="dxa" w:w="100"/>
              <w:left w:type="dxa" w:w="150"/>
              <w:bottom w:type="dxa" w:w="100"/>
              <w:right w:type="dxa" w:w="150"/>
            </w:tcMar>
          </w:tcPr>
          <w:p>
            <w:r>
              <w:rPr>
                <w:rFonts w:ascii="Arial" w:cs="Arial" w:eastAsia="Arial" w:hAnsi="Arial"/>
                <w:b/>
                <w:bCs/>
                <w:color w:val="FFFFFF"/>
                <w:sz w:val="20"/>
                <w:szCs w:val="20"/>
              </w:rPr>
              <w:t xml:space="preserve">Mesure appliquée</w:t>
            </w:r>
          </w:p>
        </w:tc>
      </w:tr>
      <w:tr>
        <w:tc>
          <w:tcPr>
            <w:tcW w:type="dxa" w:w="3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Minimisation des données</w:t>
            </w:r>
          </w:p>
        </w:tc>
        <w:tc>
          <w:tcPr>
            <w:tcW w:type="dxa" w:w="5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Seules les données nécessaires à la campagne sont collectées</w:t>
            </w:r>
          </w:p>
        </w:tc>
      </w:tr>
      <w:tr>
        <w:tc>
          <w:tcPr>
            <w:tcW w:type="dxa" w:w="3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Limitation de la conservation</w:t>
            </w:r>
          </w:p>
        </w:tc>
        <w:tc>
          <w:tcPr>
            <w:tcW w:type="dxa" w:w="58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Suppression des données à l’issue de la période d’analyse</w:t>
            </w:r>
          </w:p>
        </w:tc>
      </w:tr>
      <w:tr>
        <w:tc>
          <w:tcPr>
            <w:tcW w:type="dxa" w:w="3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Sécurité des données</w:t>
            </w:r>
          </w:p>
        </w:tc>
        <w:tc>
          <w:tcPr>
            <w:tcW w:type="dxa" w:w="5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Accès à l’interface admin restreint par IP via UFW</w:t>
            </w:r>
          </w:p>
        </w:tc>
      </w:tr>
      <w:tr>
        <w:tc>
          <w:tcPr>
            <w:tcW w:type="dxa" w:w="3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Finalité déterminée</w:t>
            </w:r>
          </w:p>
        </w:tc>
        <w:tc>
          <w:tcPr>
            <w:tcW w:type="dxa" w:w="58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Usage strictement limité à la sensibilisation interne</w:t>
            </w:r>
          </w:p>
        </w:tc>
      </w:tr>
    </w:tbl>
    <w:p>
      <w:pPr>
        <w:spacing w:after="80" w:before="80"/>
      </w:pPr>
      <w:r>
        <w:rPr>
          <w:rFonts w:ascii="Arial" w:cs="Arial" w:eastAsia="Arial" w:hAnsi="Arial"/>
          <w:i/>
          <w:iCs/>
          <w:color w:val="555555"/>
          <w:sz w:val="22"/>
          <w:szCs w:val="22"/>
        </w:rPr>
        <w:t xml:space="preserve">Point d’attention : GoPhish stocke les mots de passe en clair dans sa base SQLite. Cette limitation est inhérente à l’outil et a été acceptée dans le contexte d’un test interne limité dans le temps.</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3.4 Éthique</w:t>
      </w:r>
    </w:p>
    <w:p>
      <w:pPr>
        <w:spacing w:after="80" w:before="80"/>
      </w:pPr>
      <w:r>
        <w:rPr>
          <w:rFonts w:ascii="Arial" w:cs="Arial" w:eastAsia="Arial" w:hAnsi="Arial"/>
          <w:color w:val="333333"/>
          <w:sz w:val="22"/>
          <w:szCs w:val="22"/>
        </w:rPr>
        <w:t xml:space="preserve">Les résultats nominatifs sont communiqués uniquement à la direction mandante. Les statistiques générales sont anonymisées pour toute communication élargie. La page de sensibilisation affichée après le test informe immédiatement les membres de la nature de l’exercice.</w:t>
      </w:r>
    </w:p>
    <w:p>
      <w:r>
        <w:br w:type="page"/>
      </w:r>
    </w:p>
    <w:p>
      <w:pPr>
        <w:pStyle w:val="Heading1"/>
        <w:pBdr>
          <w:bottom w:val="single" w:color="1B4F6A" w:sz="4" w:space="4"/>
        </w:pBdr>
        <w:spacing w:after="160" w:before="480"/>
      </w:pPr>
      <w:r>
        <w:rPr>
          <w:rFonts w:ascii="Arial" w:cs="Arial" w:eastAsia="Arial" w:hAnsi="Arial"/>
          <w:b/>
          <w:bCs/>
          <w:color w:val="1B4F6A"/>
          <w:sz w:val="32"/>
          <w:szCs w:val="32"/>
        </w:rPr>
        <w:t xml:space="preserve">4. Analyse et choix de la solution</w:t>
      </w:r>
    </w:p>
    <w:p>
      <w:pPr>
        <w:pStyle w:val="Heading2"/>
        <w:spacing w:after="120" w:before="280"/>
      </w:pPr>
      <w:r>
        <w:rPr>
          <w:rFonts w:ascii="Arial" w:cs="Arial" w:eastAsia="Arial" w:hAnsi="Arial"/>
          <w:b/>
          <w:bCs/>
          <w:color w:val="A0632A"/>
          <w:sz w:val="26"/>
          <w:szCs w:val="26"/>
        </w:rPr>
        <w:t xml:space="preserve">4.1 Étude comparative des solutions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600"/>
        <w:gridCol w:w="2000"/>
        <w:gridCol w:w="2000"/>
        <w:gridCol w:w="2760"/>
      </w:tblGrid>
      <w:tr>
        <w:trPr>
          <w:tblHeader/>
        </w:trPr>
        <w:tc>
          <w:tcPr>
            <w:tcW w:type="dxa" w:w="2600"/>
            <w:shd w:fill="1B4F6A" w:val="clear"/>
            <w:tcMar>
              <w:top w:type="dxa" w:w="100"/>
              <w:left w:type="dxa" w:w="150"/>
              <w:bottom w:type="dxa" w:w="100"/>
              <w:right w:type="dxa" w:w="150"/>
            </w:tcMar>
          </w:tcPr>
          <w:p>
            <w:r>
              <w:rPr>
                <w:rFonts w:ascii="Arial" w:cs="Arial" w:eastAsia="Arial" w:hAnsi="Arial"/>
                <w:b/>
                <w:bCs/>
                <w:color w:val="FFFFFF"/>
                <w:sz w:val="20"/>
                <w:szCs w:val="20"/>
              </w:rPr>
              <w:t xml:space="preserve">Critère</w:t>
            </w:r>
          </w:p>
        </w:tc>
        <w:tc>
          <w:tcPr>
            <w:tcW w:type="dxa" w:w="2000"/>
            <w:shd w:fill="1B4F6A" w:val="clear"/>
            <w:tcMar>
              <w:top w:type="dxa" w:w="100"/>
              <w:left w:type="dxa" w:w="150"/>
              <w:bottom w:type="dxa" w:w="100"/>
              <w:right w:type="dxa" w:w="150"/>
            </w:tcMar>
          </w:tcPr>
          <w:p>
            <w:r>
              <w:rPr>
                <w:rFonts w:ascii="Arial" w:cs="Arial" w:eastAsia="Arial" w:hAnsi="Arial"/>
                <w:b/>
                <w:bCs/>
                <w:color w:val="FFFFFF"/>
                <w:sz w:val="20"/>
                <w:szCs w:val="20"/>
              </w:rPr>
              <w:t xml:space="preserve">GoPhish</w:t>
            </w:r>
          </w:p>
        </w:tc>
        <w:tc>
          <w:tcPr>
            <w:tcW w:type="dxa" w:w="2000"/>
            <w:shd w:fill="1B4F6A" w:val="clear"/>
            <w:tcMar>
              <w:top w:type="dxa" w:w="100"/>
              <w:left w:type="dxa" w:w="150"/>
              <w:bottom w:type="dxa" w:w="100"/>
              <w:right w:type="dxa" w:w="150"/>
            </w:tcMar>
          </w:tcPr>
          <w:p>
            <w:r>
              <w:rPr>
                <w:rFonts w:ascii="Arial" w:cs="Arial" w:eastAsia="Arial" w:hAnsi="Arial"/>
                <w:b/>
                <w:bCs/>
                <w:color w:val="FFFFFF"/>
                <w:sz w:val="20"/>
                <w:szCs w:val="20"/>
              </w:rPr>
              <w:t xml:space="preserve">Guardey</w:t>
            </w:r>
          </w:p>
        </w:tc>
        <w:tc>
          <w:tcPr>
            <w:tcW w:type="dxa" w:w="2760"/>
            <w:shd w:fill="1B4F6A" w:val="clear"/>
            <w:tcMar>
              <w:top w:type="dxa" w:w="100"/>
              <w:left w:type="dxa" w:w="150"/>
              <w:bottom w:type="dxa" w:w="100"/>
              <w:right w:type="dxa" w:w="150"/>
            </w:tcMar>
          </w:tcPr>
          <w:p>
            <w:r>
              <w:rPr>
                <w:rFonts w:ascii="Arial" w:cs="Arial" w:eastAsia="Arial" w:hAnsi="Arial"/>
                <w:b/>
                <w:bCs/>
                <w:color w:val="FFFFFF"/>
                <w:sz w:val="20"/>
                <w:szCs w:val="20"/>
              </w:rPr>
              <w:t xml:space="preserve">Microsoft Attack Sim.</w:t>
            </w:r>
          </w:p>
        </w:tc>
      </w:tr>
      <w:tr>
        <w:tc>
          <w:tcPr>
            <w:tcW w:type="dxa" w:w="26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Coût</w:t>
            </w:r>
          </w:p>
        </w:tc>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Gratuit</w:t>
            </w:r>
          </w:p>
        </w:tc>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Abonnement mensuel</w:t>
            </w:r>
          </w:p>
        </w:tc>
        <w:tc>
          <w:tcPr>
            <w:tcW w:type="dxa" w:w="27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Inclus M365 E5</w:t>
            </w:r>
          </w:p>
        </w:tc>
      </w:tr>
      <w:tr>
        <w:tc>
          <w:tcPr>
            <w:tcW w:type="dxa" w:w="26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Personnalisation</w:t>
            </w:r>
          </w:p>
        </w:tc>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Totale</w:t>
            </w:r>
          </w:p>
        </w:tc>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Limitée</w:t>
            </w:r>
          </w:p>
        </w:tc>
        <w:tc>
          <w:tcPr>
            <w:tcW w:type="dxa" w:w="27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Modérée</w:t>
            </w:r>
          </w:p>
        </w:tc>
      </w:tr>
      <w:tr>
        <w:tc>
          <w:tcPr>
            <w:tcW w:type="dxa" w:w="26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Hébergement</w:t>
            </w:r>
          </w:p>
        </w:tc>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On-premise / VPS</w:t>
            </w:r>
          </w:p>
        </w:tc>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SaaS</w:t>
            </w:r>
          </w:p>
        </w:tc>
        <w:tc>
          <w:tcPr>
            <w:tcW w:type="dxa" w:w="27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Cloud Microsoft</w:t>
            </w:r>
          </w:p>
        </w:tc>
      </w:tr>
      <w:tr>
        <w:tc>
          <w:tcPr>
            <w:tcW w:type="dxa" w:w="26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Maîtrise des données</w:t>
            </w:r>
          </w:p>
        </w:tc>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Totale</w:t>
            </w:r>
          </w:p>
        </w:tc>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Partielle</w:t>
            </w:r>
          </w:p>
        </w:tc>
        <w:tc>
          <w:tcPr>
            <w:tcW w:type="dxa" w:w="27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Microsoft</w:t>
            </w:r>
          </w:p>
        </w:tc>
      </w:tr>
      <w:tr>
        <w:tc>
          <w:tcPr>
            <w:tcW w:type="dxa" w:w="26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Compatibilité Google WS</w:t>
            </w:r>
          </w:p>
        </w:tc>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Oui</w:t>
            </w:r>
          </w:p>
        </w:tc>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Oui</w:t>
            </w:r>
          </w:p>
        </w:tc>
        <w:tc>
          <w:tcPr>
            <w:tcW w:type="dxa" w:w="27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Limitée</w:t>
            </w:r>
          </w:p>
        </w:tc>
      </w:tr>
      <w:tr>
        <w:tc>
          <w:tcPr>
            <w:tcW w:type="dxa" w:w="26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Rapports</w:t>
            </w:r>
          </w:p>
        </w:tc>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Détaillés</w:t>
            </w:r>
          </w:p>
        </w:tc>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Détaillés</w:t>
            </w:r>
          </w:p>
        </w:tc>
        <w:tc>
          <w:tcPr>
            <w:tcW w:type="dxa" w:w="27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Détaillés</w:t>
            </w:r>
          </w:p>
        </w:tc>
      </w:tr>
    </w:tbl>
    <w:p>
      <w:pPr>
        <w:spacing w:after="80" w:before="80"/>
      </w:pPr>
      <w:r>
        <w:t xml:space="preserve"/>
      </w:r>
    </w:p>
    <w:p>
      <w:pPr>
        <w:pStyle w:val="Heading2"/>
        <w:spacing w:after="120" w:before="280"/>
      </w:pPr>
      <w:r>
        <w:rPr>
          <w:rFonts w:ascii="Arial" w:cs="Arial" w:eastAsia="Arial" w:hAnsi="Arial"/>
          <w:b/>
          <w:bCs/>
          <w:color w:val="A0632A"/>
          <w:sz w:val="26"/>
          <w:szCs w:val="26"/>
        </w:rPr>
        <w:t xml:space="preserve">4.2 Solution retenue : GoPhish</w:t>
      </w:r>
    </w:p>
    <w:p>
      <w:pPr>
        <w:spacing w:after="80" w:before="80"/>
      </w:pPr>
      <w:r>
        <w:rPr>
          <w:rFonts w:ascii="Arial" w:cs="Arial" w:eastAsia="Arial" w:hAnsi="Arial"/>
          <w:color w:val="333333"/>
          <w:sz w:val="22"/>
          <w:szCs w:val="22"/>
        </w:rPr>
        <w:t xml:space="preserve">GoPhish a été retenu pour sa gratuité, sa personnalisation complète et la maîtrise totale des données qu’il offre. Son hébergement sur serveur dédié garantit l’indépendance vis-à-vis des plateformes de messagerie existantes et permet d’envoyer des campagnes vers Google Workspace et Microsoft 365 depuis une infrastructure neutre.</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4.3 Étude des coûts</w:t>
      </w:r>
    </w:p>
    <w:tbl>
      <w:tblPr>
        <w:tblW w:type="dxa" w:w="8360"/>
        <w:tblBorders>
          <w:top w:val="single" w:color="CCCCCC" w:sz="1"/>
          <w:left w:val="single" w:color="CCCCCC" w:sz="1"/>
          <w:bottom w:val="single" w:color="CCCCCC" w:sz="1"/>
          <w:right w:val="single" w:color="CCCCCC" w:sz="1"/>
          <w:insideH w:val="single" w:color="auto" w:sz="4"/>
          <w:insideV w:val="single" w:color="auto" w:sz="4"/>
        </w:tblBorders>
      </w:tblPr>
      <w:tblGrid>
        <w:gridCol w:w="3400"/>
        <w:gridCol w:w="2000"/>
        <w:gridCol w:w="1500"/>
        <w:gridCol w:w="1460"/>
      </w:tblGrid>
      <w:tr>
        <w:trPr>
          <w:tblHeader/>
        </w:trPr>
        <w:tc>
          <w:tcPr>
            <w:tcW w:type="dxa" w:w="3400"/>
            <w:shd w:fill="1B4F6A" w:val="clear"/>
            <w:tcMar>
              <w:top w:type="dxa" w:w="100"/>
              <w:left w:type="dxa" w:w="150"/>
              <w:bottom w:type="dxa" w:w="100"/>
              <w:right w:type="dxa" w:w="150"/>
            </w:tcMar>
          </w:tcPr>
          <w:p>
            <w:r>
              <w:rPr>
                <w:rFonts w:ascii="Arial" w:cs="Arial" w:eastAsia="Arial" w:hAnsi="Arial"/>
                <w:b/>
                <w:bCs/>
                <w:color w:val="FFFFFF"/>
                <w:sz w:val="20"/>
                <w:szCs w:val="20"/>
              </w:rPr>
              <w:t xml:space="preserve">Élément</w:t>
            </w:r>
          </w:p>
        </w:tc>
        <w:tc>
          <w:tcPr>
            <w:tcW w:type="dxa" w:w="2000"/>
            <w:shd w:fill="1B4F6A" w:val="clear"/>
            <w:tcMar>
              <w:top w:type="dxa" w:w="100"/>
              <w:left w:type="dxa" w:w="150"/>
              <w:bottom w:type="dxa" w:w="100"/>
              <w:right w:type="dxa" w:w="150"/>
            </w:tcMar>
          </w:tcPr>
          <w:p>
            <w:r>
              <w:rPr>
                <w:rFonts w:ascii="Arial" w:cs="Arial" w:eastAsia="Arial" w:hAnsi="Arial"/>
                <w:b/>
                <w:bCs/>
                <w:color w:val="FFFFFF"/>
                <w:sz w:val="20"/>
                <w:szCs w:val="20"/>
              </w:rPr>
              <w:t xml:space="preserve">Fournisseur</w:t>
            </w:r>
          </w:p>
        </w:tc>
        <w:tc>
          <w:tcPr>
            <w:tcW w:type="dxa" w:w="1500"/>
            <w:shd w:fill="1B4F6A" w:val="clear"/>
            <w:tcMar>
              <w:top w:type="dxa" w:w="100"/>
              <w:left w:type="dxa" w:w="150"/>
              <w:bottom w:type="dxa" w:w="100"/>
              <w:right w:type="dxa" w:w="150"/>
            </w:tcMar>
          </w:tcPr>
          <w:p>
            <w:r>
              <w:rPr>
                <w:rFonts w:ascii="Arial" w:cs="Arial" w:eastAsia="Arial" w:hAnsi="Arial"/>
                <w:b/>
                <w:bCs/>
                <w:color w:val="FFFFFF"/>
                <w:sz w:val="20"/>
                <w:szCs w:val="20"/>
              </w:rPr>
              <w:t xml:space="preserve">Durée</w:t>
            </w:r>
          </w:p>
        </w:tc>
        <w:tc>
          <w:tcPr>
            <w:tcW w:type="dxa" w:w="1460"/>
            <w:shd w:fill="1B4F6A" w:val="clear"/>
            <w:tcMar>
              <w:top w:type="dxa" w:w="100"/>
              <w:left w:type="dxa" w:w="150"/>
              <w:bottom w:type="dxa" w:w="100"/>
              <w:right w:type="dxa" w:w="150"/>
            </w:tcMar>
          </w:tcPr>
          <w:p>
            <w:r>
              <w:rPr>
                <w:rFonts w:ascii="Arial" w:cs="Arial" w:eastAsia="Arial" w:hAnsi="Arial"/>
                <w:b/>
                <w:bCs/>
                <w:color w:val="FFFFFF"/>
                <w:sz w:val="20"/>
                <w:szCs w:val="20"/>
              </w:rPr>
              <w:t xml:space="preserve">Coût HT</w:t>
            </w:r>
          </w:p>
        </w:tc>
      </w:tr>
      <w:tr>
        <w:tc>
          <w:tcPr>
            <w:tcW w:type="dxa" w:w="34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VPS GoPhish (VPS-1 OVHcloud)</w:t>
            </w:r>
          </w:p>
        </w:tc>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OVHcloud</w:t>
            </w:r>
          </w:p>
        </w:tc>
        <w:tc>
          <w:tcPr>
            <w:tcW w:type="dxa" w:w="1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6 mois</w:t>
            </w:r>
          </w:p>
        </w:tc>
        <w:tc>
          <w:tcPr>
            <w:tcW w:type="dxa" w:w="14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25,68 €</w:t>
            </w:r>
          </w:p>
        </w:tc>
      </w:tr>
      <w:tr>
        <w:tc>
          <w:tcPr>
            <w:tcW w:type="dxa" w:w="34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VPS SMTP (VPS-1 OVHcloud)</w:t>
            </w:r>
          </w:p>
        </w:tc>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OVHcloud</w:t>
            </w:r>
          </w:p>
        </w:tc>
        <w:tc>
          <w:tcPr>
            <w:tcW w:type="dxa" w:w="1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6 mois</w:t>
            </w:r>
          </w:p>
        </w:tc>
        <w:tc>
          <w:tcPr>
            <w:tcW w:type="dxa" w:w="14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25,68 €</w:t>
            </w:r>
          </w:p>
        </w:tc>
      </w:tr>
      <w:tr>
        <w:tc>
          <w:tcPr>
            <w:tcW w:type="dxa" w:w="34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Nom de domaine account-google.fr</w:t>
            </w:r>
          </w:p>
        </w:tc>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OVHcloud</w:t>
            </w:r>
          </w:p>
        </w:tc>
        <w:tc>
          <w:tcPr>
            <w:tcW w:type="dxa" w:w="1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1 an</w:t>
            </w:r>
          </w:p>
        </w:tc>
        <w:tc>
          <w:tcPr>
            <w:tcW w:type="dxa" w:w="14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9,99 €</w:t>
            </w:r>
          </w:p>
        </w:tc>
      </w:tr>
      <w:tr>
        <w:tc>
          <w:tcPr>
            <w:tcW w:type="dxa" w:w="34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Certificats SSL Let’s Encrypt</w:t>
            </w:r>
          </w:p>
        </w:tc>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w:t>
            </w:r>
          </w:p>
        </w:tc>
        <w:tc>
          <w:tcPr>
            <w:tcW w:type="dxa" w:w="1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w:t>
            </w:r>
          </w:p>
        </w:tc>
        <w:tc>
          <w:tcPr>
            <w:tcW w:type="dxa" w:w="14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Gratuit</w:t>
            </w:r>
          </w:p>
        </w:tc>
      </w:tr>
      <w:tr>
        <w:tc>
          <w:tcPr>
            <w:tcW w:type="dxa" w:w="34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GoPhish</w:t>
            </w:r>
          </w:p>
        </w:tc>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Open Source</w:t>
            </w:r>
          </w:p>
        </w:tc>
        <w:tc>
          <w:tcPr>
            <w:tcW w:type="dxa" w:w="1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w:t>
            </w:r>
          </w:p>
        </w:tc>
        <w:tc>
          <w:tcPr>
            <w:tcW w:type="dxa" w:w="14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Gratuit</w:t>
            </w:r>
          </w:p>
        </w:tc>
      </w:tr>
      <w:tr>
        <w:tc>
          <w:tcPr>
            <w:tcW w:type="dxa" w:w="34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Total</w:t>
            </w:r>
          </w:p>
        </w:tc>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
            </w:r>
          </w:p>
        </w:tc>
        <w:tc>
          <w:tcPr>
            <w:tcW w:type="dxa" w:w="1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
            </w:r>
          </w:p>
        </w:tc>
        <w:tc>
          <w:tcPr>
            <w:tcW w:type="dxa" w:w="14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61,35 €</w:t>
            </w:r>
          </w:p>
        </w:tc>
      </w:tr>
    </w:tbl>
    <w:p>
      <w:pPr>
        <w:spacing w:after="80" w:before="80"/>
      </w:pPr>
      <w:r>
        <w:t xml:space="preserve"/>
      </w:r>
    </w:p>
    <w:p>
      <w:r>
        <w:br w:type="page"/>
      </w:r>
    </w:p>
    <w:p>
      <w:pPr>
        <w:pStyle w:val="Heading1"/>
        <w:pBdr>
          <w:bottom w:val="single" w:color="1B4F6A" w:sz="4" w:space="4"/>
        </w:pBdr>
        <w:spacing w:after="160" w:before="480"/>
      </w:pPr>
      <w:r>
        <w:rPr>
          <w:rFonts w:ascii="Arial" w:cs="Arial" w:eastAsia="Arial" w:hAnsi="Arial"/>
          <w:b/>
          <w:bCs/>
          <w:color w:val="1B4F6A"/>
          <w:sz w:val="32"/>
          <w:szCs w:val="32"/>
        </w:rPr>
        <w:t xml:space="preserve">5. Architecture technique</w:t>
      </w:r>
    </w:p>
    <w:p>
      <w:pPr>
        <w:pStyle w:val="Heading2"/>
        <w:spacing w:after="120" w:before="280"/>
      </w:pPr>
      <w:r>
        <w:rPr>
          <w:rFonts w:ascii="Arial" w:cs="Arial" w:eastAsia="Arial" w:hAnsi="Arial"/>
          <w:b/>
          <w:bCs/>
          <w:color w:val="A0632A"/>
          <w:sz w:val="26"/>
          <w:szCs w:val="26"/>
        </w:rPr>
        <w:t xml:space="preserve">5.1 Flux de la campagne</w:t>
      </w:r>
    </w:p>
    <w:p>
      <w:pPr>
        <w:pBdr>
          <w:left w:val="single" w:color="1B4F6A" w:sz="12" w:space="8"/>
        </w:pBdr>
        <w:shd w:fill="F0F4F8" w:val="clear"/>
        <w:spacing w:after="120" w:before="120"/>
        <w:ind w:left="360"/>
      </w:pPr>
      <w:r>
        <w:rPr>
          <w:rFonts w:ascii="Courier New" w:cs="Courier New" w:eastAsia="Courier New" w:hAnsi="Courier New"/>
          <w:color w:val="1B4F6A"/>
          <w:sz w:val="20"/>
          <w:szCs w:val="20"/>
        </w:rPr>
        <w:t xml:space="preserve">GoPhish (VPS 1) → Postfix (VPS 2) → Gmail cible → Clic lien → signin.account-google.fr (VPS 1) → Soumission → awareness.account-google.fr (VPS 2)</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5.2 Infrastructure déployée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2800"/>
        <w:gridCol w:w="1500"/>
        <w:gridCol w:w="1200"/>
        <w:gridCol w:w="2060"/>
      </w:tblGrid>
      <w:tr>
        <w:trPr>
          <w:tblHeader/>
        </w:trPr>
        <w:tc>
          <w:tcPr>
            <w:tcW w:type="dxa" w:w="1800"/>
            <w:shd w:fill="1B4F6A" w:val="clear"/>
            <w:tcMar>
              <w:top w:type="dxa" w:w="100"/>
              <w:left w:type="dxa" w:w="150"/>
              <w:bottom w:type="dxa" w:w="100"/>
              <w:right w:type="dxa" w:w="150"/>
            </w:tcMar>
          </w:tcPr>
          <w:p>
            <w:r>
              <w:rPr>
                <w:rFonts w:ascii="Arial" w:cs="Arial" w:eastAsia="Arial" w:hAnsi="Arial"/>
                <w:b/>
                <w:bCs/>
                <w:color w:val="FFFFFF"/>
                <w:sz w:val="20"/>
                <w:szCs w:val="20"/>
              </w:rPr>
              <w:t xml:space="preserve">Rôle</w:t>
            </w:r>
          </w:p>
        </w:tc>
        <w:tc>
          <w:tcPr>
            <w:tcW w:type="dxa" w:w="2800"/>
            <w:shd w:fill="1B4F6A" w:val="clear"/>
            <w:tcMar>
              <w:top w:type="dxa" w:w="100"/>
              <w:left w:type="dxa" w:w="150"/>
              <w:bottom w:type="dxa" w:w="100"/>
              <w:right w:type="dxa" w:w="150"/>
            </w:tcMar>
          </w:tcPr>
          <w:p>
            <w:r>
              <w:rPr>
                <w:rFonts w:ascii="Arial" w:cs="Arial" w:eastAsia="Arial" w:hAnsi="Arial"/>
                <w:b/>
                <w:bCs/>
                <w:color w:val="FFFFFF"/>
                <w:sz w:val="20"/>
                <w:szCs w:val="20"/>
              </w:rPr>
              <w:t xml:space="preserve">Hostname</w:t>
            </w:r>
          </w:p>
        </w:tc>
        <w:tc>
          <w:tcPr>
            <w:tcW w:type="dxa" w:w="1500"/>
            <w:shd w:fill="1B4F6A" w:val="clear"/>
            <w:tcMar>
              <w:top w:type="dxa" w:w="100"/>
              <w:left w:type="dxa" w:w="150"/>
              <w:bottom w:type="dxa" w:w="100"/>
              <w:right w:type="dxa" w:w="150"/>
            </w:tcMar>
          </w:tcPr>
          <w:p>
            <w:r>
              <w:rPr>
                <w:rFonts w:ascii="Arial" w:cs="Arial" w:eastAsia="Arial" w:hAnsi="Arial"/>
                <w:b/>
                <w:bCs/>
                <w:color w:val="FFFFFF"/>
                <w:sz w:val="20"/>
                <w:szCs w:val="20"/>
              </w:rPr>
              <w:t xml:space="preserve">IP</w:t>
            </w:r>
          </w:p>
        </w:tc>
        <w:tc>
          <w:tcPr>
            <w:tcW w:type="dxa" w:w="1200"/>
            <w:shd w:fill="1B4F6A" w:val="clear"/>
            <w:tcMar>
              <w:top w:type="dxa" w:w="100"/>
              <w:left w:type="dxa" w:w="150"/>
              <w:bottom w:type="dxa" w:w="100"/>
              <w:right w:type="dxa" w:w="150"/>
            </w:tcMar>
          </w:tcPr>
          <w:p>
            <w:r>
              <w:rPr>
                <w:rFonts w:ascii="Arial" w:cs="Arial" w:eastAsia="Arial" w:hAnsi="Arial"/>
                <w:b/>
                <w:bCs/>
                <w:color w:val="FFFFFF"/>
                <w:sz w:val="20"/>
                <w:szCs w:val="20"/>
              </w:rPr>
              <w:t xml:space="preserve">OS</w:t>
            </w:r>
          </w:p>
        </w:tc>
        <w:tc>
          <w:tcPr>
            <w:tcW w:type="dxa" w:w="2060"/>
            <w:shd w:fill="1B4F6A" w:val="clear"/>
            <w:tcMar>
              <w:top w:type="dxa" w:w="100"/>
              <w:left w:type="dxa" w:w="150"/>
              <w:bottom w:type="dxa" w:w="100"/>
              <w:right w:type="dxa" w:w="150"/>
            </w:tcMar>
          </w:tcPr>
          <w:p>
            <w:r>
              <w:rPr>
                <w:rFonts w:ascii="Arial" w:cs="Arial" w:eastAsia="Arial" w:hAnsi="Arial"/>
                <w:b/>
                <w:bCs/>
                <w:color w:val="FFFFFF"/>
                <w:sz w:val="20"/>
                <w:szCs w:val="20"/>
              </w:rPr>
              <w:t xml:space="preserve">Specs</w:t>
            </w:r>
          </w:p>
        </w:tc>
      </w:tr>
      <w:tr>
        <w:tc>
          <w:tcPr>
            <w:tcW w:type="dxa" w:w="18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Serveur GoPhish</w:t>
            </w:r>
          </w:p>
        </w:tc>
        <w:tc>
          <w:tcPr>
            <w:tcW w:type="dxa" w:w="28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vps-60be560b.vps.ovh.net</w:t>
            </w:r>
          </w:p>
        </w:tc>
        <w:tc>
          <w:tcPr>
            <w:tcW w:type="dxa" w:w="1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57.129.120.79</w:t>
            </w:r>
          </w:p>
        </w:tc>
        <w:tc>
          <w:tcPr>
            <w:tcW w:type="dxa" w:w="12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Debian 13</w:t>
            </w:r>
          </w:p>
        </w:tc>
        <w:tc>
          <w:tcPr>
            <w:tcW w:type="dxa" w:w="20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4 vCores / 8 Go / 75 Go</w:t>
            </w:r>
          </w:p>
        </w:tc>
      </w:tr>
      <w:tr>
        <w:tc>
          <w:tcPr>
            <w:tcW w:type="dxa" w:w="18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Serveur SMTP</w:t>
            </w:r>
          </w:p>
        </w:tc>
        <w:tc>
          <w:tcPr>
            <w:tcW w:type="dxa" w:w="28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vps-7xxxxxx.vps.ovh.net</w:t>
            </w:r>
          </w:p>
        </w:tc>
        <w:tc>
          <w:tcPr>
            <w:tcW w:type="dxa" w:w="1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57.129.42.95</w:t>
            </w:r>
          </w:p>
        </w:tc>
        <w:tc>
          <w:tcPr>
            <w:tcW w:type="dxa" w:w="12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Debian 13</w:t>
            </w:r>
          </w:p>
        </w:tc>
        <w:tc>
          <w:tcPr>
            <w:tcW w:type="dxa" w:w="20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4 vCores / 8 Go / 75 Go</w:t>
            </w:r>
          </w:p>
        </w:tc>
      </w:tr>
    </w:tbl>
    <w:p>
      <w:pPr>
        <w:spacing w:after="80" w:before="80"/>
      </w:pPr>
      <w:r>
        <w:t xml:space="preserve"/>
      </w:r>
    </w:p>
    <w:p>
      <w:pPr>
        <w:pStyle w:val="Heading2"/>
        <w:spacing w:after="120" w:before="280"/>
      </w:pPr>
      <w:r>
        <w:rPr>
          <w:rFonts w:ascii="Arial" w:cs="Arial" w:eastAsia="Arial" w:hAnsi="Arial"/>
          <w:b/>
          <w:bCs/>
          <w:color w:val="A0632A"/>
          <w:sz w:val="26"/>
          <w:szCs w:val="26"/>
        </w:rPr>
        <w:t xml:space="preserve">5.3 Justification de la séparation des rôles</w:t>
      </w:r>
    </w:p>
    <w:p>
      <w:pPr>
        <w:spacing w:after="80" w:before="80"/>
      </w:pPr>
      <w:r>
        <w:rPr>
          <w:rFonts w:ascii="Arial" w:cs="Arial" w:eastAsia="Arial" w:hAnsi="Arial"/>
          <w:color w:val="333333"/>
          <w:sz w:val="22"/>
          <w:szCs w:val="22"/>
        </w:rPr>
        <w:t xml:space="preserve">La séparation en deux VPS distincts répond au principe fondamental d’hygiène informatique : un serveur = un rôle.</w:t>
      </w:r>
    </w:p>
    <w:p>
      <w:pPr>
        <w:pStyle w:val="ListParagraph"/>
        <w:numPr>
          <w:ilvl w:val="0"/>
          <w:numId w:val="2"/>
        </w:numPr>
        <w:spacing w:after="60" w:before="60"/>
      </w:pPr>
      <w:r>
        <w:rPr>
          <w:rFonts w:ascii="Arial" w:cs="Arial" w:eastAsia="Arial" w:hAnsi="Arial"/>
          <w:color w:val="333333"/>
          <w:sz w:val="22"/>
          <w:szCs w:val="22"/>
        </w:rPr>
        <w:t xml:space="preserve">Cloisonnement : en cas de compromission du serveur SMTP, l’attaquant n’accède pas à la base GoPhish contenant les credentials collectés</w:t>
      </w:r>
    </w:p>
    <w:p>
      <w:pPr>
        <w:pStyle w:val="ListParagraph"/>
        <w:numPr>
          <w:ilvl w:val="0"/>
          <w:numId w:val="2"/>
        </w:numPr>
        <w:spacing w:after="60" w:before="60"/>
      </w:pPr>
      <w:r>
        <w:rPr>
          <w:rFonts w:ascii="Arial" w:cs="Arial" w:eastAsia="Arial" w:hAnsi="Arial"/>
          <w:color w:val="333333"/>
          <w:sz w:val="22"/>
          <w:szCs w:val="22"/>
        </w:rPr>
        <w:t xml:space="preserve">Indépendance des mises à jour : chaque service peut être maintenu sans impacter l’autre</w:t>
      </w:r>
    </w:p>
    <w:p>
      <w:pPr>
        <w:pStyle w:val="ListParagraph"/>
        <w:numPr>
          <w:ilvl w:val="0"/>
          <w:numId w:val="2"/>
        </w:numPr>
        <w:spacing w:after="60" w:before="60"/>
      </w:pPr>
      <w:r>
        <w:rPr>
          <w:rFonts w:ascii="Arial" w:cs="Arial" w:eastAsia="Arial" w:hAnsi="Arial"/>
          <w:color w:val="333333"/>
          <w:sz w:val="22"/>
          <w:szCs w:val="22"/>
        </w:rPr>
        <w:t xml:space="preserve">Clarté d’administration : les logs et configurations sont séparés, facilitant le diagnostic</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5.4 Zone DNS – account-google.fr</w:t>
      </w:r>
    </w:p>
    <w:tbl>
      <w:tblPr>
        <w:tblW w:type="dxa" w:w="8360"/>
        <w:tblBorders>
          <w:top w:val="single" w:color="CCCCCC" w:sz="1"/>
          <w:left w:val="single" w:color="CCCCCC" w:sz="1"/>
          <w:bottom w:val="single" w:color="CCCCCC" w:sz="1"/>
          <w:right w:val="single" w:color="CCCCCC" w:sz="1"/>
          <w:insideH w:val="single" w:color="auto" w:sz="4"/>
          <w:insideV w:val="single" w:color="auto" w:sz="4"/>
        </w:tblBorders>
      </w:tblPr>
      <w:tblGrid>
        <w:gridCol w:w="1000"/>
        <w:gridCol w:w="1600"/>
        <w:gridCol w:w="3500"/>
        <w:gridCol w:w="2260"/>
      </w:tblGrid>
      <w:tr>
        <w:trPr>
          <w:tblHeader/>
        </w:trPr>
        <w:tc>
          <w:tcPr>
            <w:tcW w:type="dxa" w:w="1000"/>
            <w:shd w:fill="1B4F6A"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600"/>
            <w:shd w:fill="1B4F6A" w:val="clear"/>
            <w:tcMar>
              <w:top w:type="dxa" w:w="100"/>
              <w:left w:type="dxa" w:w="150"/>
              <w:bottom w:type="dxa" w:w="100"/>
              <w:right w:type="dxa" w:w="150"/>
            </w:tcMar>
          </w:tcPr>
          <w:p>
            <w:r>
              <w:rPr>
                <w:rFonts w:ascii="Arial" w:cs="Arial" w:eastAsia="Arial" w:hAnsi="Arial"/>
                <w:b/>
                <w:bCs/>
                <w:color w:val="FFFFFF"/>
                <w:sz w:val="20"/>
                <w:szCs w:val="20"/>
              </w:rPr>
              <w:t xml:space="preserve">Sous-domaine</w:t>
            </w:r>
          </w:p>
        </w:tc>
        <w:tc>
          <w:tcPr>
            <w:tcW w:type="dxa" w:w="3500"/>
            <w:shd w:fill="1B4F6A" w:val="clear"/>
            <w:tcMar>
              <w:top w:type="dxa" w:w="100"/>
              <w:left w:type="dxa" w:w="150"/>
              <w:bottom w:type="dxa" w:w="100"/>
              <w:right w:type="dxa" w:w="150"/>
            </w:tcMar>
          </w:tcPr>
          <w:p>
            <w:r>
              <w:rPr>
                <w:rFonts w:ascii="Arial" w:cs="Arial" w:eastAsia="Arial" w:hAnsi="Arial"/>
                <w:b/>
                <w:bCs/>
                <w:color w:val="FFFFFF"/>
                <w:sz w:val="20"/>
                <w:szCs w:val="20"/>
              </w:rPr>
              <w:t xml:space="preserve">Valeur</w:t>
            </w:r>
          </w:p>
        </w:tc>
        <w:tc>
          <w:tcPr>
            <w:tcW w:type="dxa" w:w="2260"/>
            <w:shd w:fill="1B4F6A" w:val="clear"/>
            <w:tcMar>
              <w:top w:type="dxa" w:w="100"/>
              <w:left w:type="dxa" w:w="150"/>
              <w:bottom w:type="dxa" w:w="100"/>
              <w:right w:type="dxa" w:w="150"/>
            </w:tcMar>
          </w:tcPr>
          <w:p>
            <w:r>
              <w:rPr>
                <w:rFonts w:ascii="Arial" w:cs="Arial" w:eastAsia="Arial" w:hAnsi="Arial"/>
                <w:b/>
                <w:bCs/>
                <w:color w:val="FFFFFF"/>
                <w:sz w:val="20"/>
                <w:szCs w:val="20"/>
              </w:rPr>
              <w:t xml:space="preserve">Rôle</w:t>
            </w:r>
          </w:p>
        </w:tc>
      </w:tr>
      <w:tr>
        <w:tc>
          <w:tcPr>
            <w:tcW w:type="dxa" w:w="1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w:t>
            </w:r>
          </w:p>
        </w:tc>
        <w:tc>
          <w:tcPr>
            <w:tcW w:type="dxa" w:w="16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signin</w:t>
            </w:r>
          </w:p>
        </w:tc>
        <w:tc>
          <w:tcPr>
            <w:tcW w:type="dxa" w:w="3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57.129.120.79</w:t>
            </w:r>
          </w:p>
        </w:tc>
        <w:tc>
          <w:tcPr>
            <w:tcW w:type="dxa" w:w="22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Landing page phishing</w:t>
            </w:r>
          </w:p>
        </w:tc>
      </w:tr>
      <w:tr>
        <w:tc>
          <w:tcPr>
            <w:tcW w:type="dxa" w:w="1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A</w:t>
            </w:r>
          </w:p>
        </w:tc>
        <w:tc>
          <w:tcPr>
            <w:tcW w:type="dxa" w:w="16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awareness</w:t>
            </w:r>
          </w:p>
        </w:tc>
        <w:tc>
          <w:tcPr>
            <w:tcW w:type="dxa" w:w="3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57.129.42.95</w:t>
            </w:r>
          </w:p>
        </w:tc>
        <w:tc>
          <w:tcPr>
            <w:tcW w:type="dxa" w:w="22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Page de sensibilisation</w:t>
            </w:r>
          </w:p>
        </w:tc>
      </w:tr>
      <w:tr>
        <w:tc>
          <w:tcPr>
            <w:tcW w:type="dxa" w:w="1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w:t>
            </w:r>
          </w:p>
        </w:tc>
        <w:tc>
          <w:tcPr>
            <w:tcW w:type="dxa" w:w="16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mail</w:t>
            </w:r>
          </w:p>
        </w:tc>
        <w:tc>
          <w:tcPr>
            <w:tcW w:type="dxa" w:w="3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57.129.42.95</w:t>
            </w:r>
          </w:p>
        </w:tc>
        <w:tc>
          <w:tcPr>
            <w:tcW w:type="dxa" w:w="22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Serveur SMTP</w:t>
            </w:r>
          </w:p>
        </w:tc>
      </w:tr>
      <w:tr>
        <w:tc>
          <w:tcPr>
            <w:tcW w:type="dxa" w:w="1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MX</w:t>
            </w:r>
          </w:p>
        </w:tc>
        <w:tc>
          <w:tcPr>
            <w:tcW w:type="dxa" w:w="16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(racine)</w:t>
            </w:r>
          </w:p>
        </w:tc>
        <w:tc>
          <w:tcPr>
            <w:tcW w:type="dxa" w:w="3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mail.account-google.fr (priorité 10)</w:t>
            </w:r>
          </w:p>
        </w:tc>
        <w:tc>
          <w:tcPr>
            <w:tcW w:type="dxa" w:w="22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Routage mail</w:t>
            </w:r>
          </w:p>
        </w:tc>
      </w:tr>
      <w:tr>
        <w:tc>
          <w:tcPr>
            <w:tcW w:type="dxa" w:w="1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TXT</w:t>
            </w:r>
          </w:p>
        </w:tc>
        <w:tc>
          <w:tcPr>
            <w:tcW w:type="dxa" w:w="16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(racine)</w:t>
            </w:r>
          </w:p>
        </w:tc>
        <w:tc>
          <w:tcPr>
            <w:tcW w:type="dxa" w:w="3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v=spf1 ip4:57.129.42.95 ~all</w:t>
            </w:r>
          </w:p>
        </w:tc>
        <w:tc>
          <w:tcPr>
            <w:tcW w:type="dxa" w:w="22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Authentification SPF</w:t>
            </w:r>
          </w:p>
        </w:tc>
      </w:tr>
    </w:tbl>
    <w:p>
      <w:pPr>
        <w:spacing w:after="80" w:before="80"/>
      </w:pPr>
      <w:r>
        <w:t xml:space="preserve"/>
      </w:r>
    </w:p>
    <w:p>
      <w:r>
        <w:br w:type="page"/>
      </w:r>
    </w:p>
    <w:p>
      <w:pPr>
        <w:pStyle w:val="Heading1"/>
        <w:pBdr>
          <w:bottom w:val="single" w:color="1B4F6A" w:sz="4" w:space="4"/>
        </w:pBdr>
        <w:spacing w:after="160" w:before="480"/>
      </w:pPr>
      <w:r>
        <w:rPr>
          <w:rFonts w:ascii="Arial" w:cs="Arial" w:eastAsia="Arial" w:hAnsi="Arial"/>
          <w:b/>
          <w:bCs/>
          <w:color w:val="1B4F6A"/>
          <w:sz w:val="32"/>
          <w:szCs w:val="32"/>
        </w:rPr>
        <w:t xml:space="preserve">6. Mise en œuvre de l’infrastructure</w:t>
      </w:r>
    </w:p>
    <w:p>
      <w:pPr>
        <w:pStyle w:val="Heading2"/>
        <w:spacing w:after="120" w:before="280"/>
      </w:pPr>
      <w:r>
        <w:rPr>
          <w:rFonts w:ascii="Arial" w:cs="Arial" w:eastAsia="Arial" w:hAnsi="Arial"/>
          <w:b/>
          <w:bCs/>
          <w:color w:val="A0632A"/>
          <w:sz w:val="26"/>
          <w:szCs w:val="26"/>
        </w:rPr>
        <w:t xml:space="preserve">6.1 VPS GoPhish – Installation</w:t>
      </w:r>
    </w:p>
    <w:p>
      <w:pPr>
        <w:spacing w:after="80" w:before="80"/>
      </w:pPr>
      <w:r>
        <w:rPr>
          <w:rFonts w:ascii="Arial" w:cs="Arial" w:eastAsia="Arial" w:hAnsi="Arial"/>
          <w:color w:val="333333"/>
          <w:sz w:val="22"/>
          <w:szCs w:val="22"/>
        </w:rPr>
        <w:t xml:space="preserve">Le système d’exploitation retenu est Debian 13 Core. La connexion aux serveurs s’effectue via PuTTY (client SSH Windows).</w:t>
      </w:r>
    </w:p>
    <w:p>
      <w:pPr>
        <w:spacing w:after="120" w:before="120"/>
        <w:ind w:left="360"/>
      </w:pPr>
      <w:r>
        <w:rPr>
          <w:rFonts w:ascii="Courier New" w:cs="Courier New" w:eastAsia="Courier New" w:hAnsi="Courier New"/>
          <w:color w:val="1a1a2e"/>
          <w:sz w:val="18"/>
          <w:szCs w:val="18"/>
        </w:rPr>
        <w:t xml:space="preserve">sudo apt update &amp;&amp; sudo apt install unzip -y
sudo wget https://github.com/gophish/gophish/releases/.../gophish-v0.12.1-linux-64bit.zip
unzip gophish-v0.12.1-linux-64bit.zip -d /home/debian/
chmod +x /home/debian/gophish</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6.2 Configuration config.json</w:t>
      </w:r>
    </w:p>
    <w:p>
      <w:pPr>
        <w:spacing w:after="80" w:before="80"/>
      </w:pPr>
      <w:r>
        <w:rPr>
          <w:rFonts w:ascii="Arial" w:cs="Arial" w:eastAsia="Arial" w:hAnsi="Arial"/>
          <w:color w:val="333333"/>
          <w:sz w:val="22"/>
          <w:szCs w:val="22"/>
        </w:rPr>
        <w:t xml:space="preserve">Par défaut, GoPhish écoute sur 127.0.0.1:3333. La modification suivante permet l’accès depuis l’extérieur (restreint ensuite par UFW) :</w:t>
      </w:r>
    </w:p>
    <w:p>
      <w:pPr>
        <w:spacing w:after="120" w:before="120"/>
        <w:ind w:left="360"/>
      </w:pPr>
      <w:r>
        <w:rPr>
          <w:rFonts w:ascii="Courier New" w:cs="Courier New" w:eastAsia="Courier New" w:hAnsi="Courier New"/>
          <w:color w:val="1a1a2e"/>
          <w:sz w:val="18"/>
          <w:szCs w:val="18"/>
        </w:rPr>
        <w:t xml:space="preserve">{
  "admin_server": { "listen_url": "0.0.0.0:3333", "use_tls": true },
  "phish_server": { "listen_url": "0.0.0.0:80", "use_tls": false }
}</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6.3 Service systemd</w:t>
      </w:r>
    </w:p>
    <w:p>
      <w:pPr>
        <w:spacing w:after="120" w:before="120"/>
        <w:ind w:left="360"/>
      </w:pPr>
      <w:r>
        <w:rPr>
          <w:rFonts w:ascii="Courier New" w:cs="Courier New" w:eastAsia="Courier New" w:hAnsi="Courier New"/>
          <w:color w:val="1a1a2e"/>
          <w:sz w:val="18"/>
          <w:szCs w:val="18"/>
        </w:rPr>
        <w:t xml:space="preserve">[Unit]
Description=Gophish Service
After=network.target
[Service]
User=root
WorkingDirectory=/home/debian
ExecStart=/home/debian/gophish
Restart=always
RestartSec=5s
[Install]
WantedBy=multi-user.target</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6.4 VPS SMTP – Configuration Postfix (main.cf)</w:t>
      </w:r>
    </w:p>
    <w:p>
      <w:pPr>
        <w:spacing w:after="120" w:before="120"/>
        <w:ind w:left="360"/>
      </w:pPr>
      <w:r>
        <w:rPr>
          <w:rFonts w:ascii="Courier New" w:cs="Courier New" w:eastAsia="Courier New" w:hAnsi="Courier New"/>
          <w:color w:val="1a1a2e"/>
          <w:sz w:val="18"/>
          <w:szCs w:val="18"/>
        </w:rPr>
        <w:t xml:space="preserve">myhostname = mail.account-google.fr
mydomain = account-google.fr
myorigin = $mydomain
inet_interfaces = all
inet_protocols = ipv4
mydestination = $myhostname, localhost
mynetworks = 127.0.0.0/8 57.129.120.79/32
relayhost =</w:t>
      </w:r>
    </w:p>
    <w:p>
      <w:pPr>
        <w:spacing w:after="80" w:before="80"/>
      </w:pPr>
      <w:r>
        <w:rPr>
          <w:rFonts w:ascii="Arial" w:cs="Arial" w:eastAsia="Arial" w:hAnsi="Arial"/>
          <w:i/>
          <w:iCs/>
          <w:color w:val="555555"/>
          <w:sz w:val="22"/>
          <w:szCs w:val="22"/>
        </w:rPr>
        <w:t xml:space="preserve">Sécurisation SMTP : le paramètre mynetworks restreint le relayage d’emails à l’IP du VPS GoPhish uniquement, évitant l’open relay.</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6.5 Problèmes rencontrés et solutions</w:t>
      </w:r>
    </w:p>
    <w:tbl>
      <w:tblPr>
        <w:tblW w:type="dxa" w:w="8360"/>
        <w:tblBorders>
          <w:top w:val="single" w:color="CCCCCC" w:sz="1"/>
          <w:left w:val="single" w:color="CCCCCC" w:sz="1"/>
          <w:bottom w:val="single" w:color="CCCCCC" w:sz="1"/>
          <w:right w:val="single" w:color="CCCCCC" w:sz="1"/>
          <w:insideH w:val="single" w:color="auto" w:sz="4"/>
          <w:insideV w:val="single" w:color="auto" w:sz="4"/>
        </w:tblBorders>
      </w:tblPr>
      <w:tblGrid>
        <w:gridCol w:w="2500"/>
        <w:gridCol w:w="3500"/>
        <w:gridCol w:w="2360"/>
      </w:tblGrid>
      <w:tr>
        <w:trPr>
          <w:tblHeader/>
        </w:trPr>
        <w:tc>
          <w:tcPr>
            <w:tcW w:type="dxa" w:w="2500"/>
            <w:shd w:fill="1B4F6A" w:val="clear"/>
            <w:tcMar>
              <w:top w:type="dxa" w:w="100"/>
              <w:left w:type="dxa" w:w="150"/>
              <w:bottom w:type="dxa" w:w="100"/>
              <w:right w:type="dxa" w:w="150"/>
            </w:tcMar>
          </w:tcPr>
          <w:p>
            <w:r>
              <w:rPr>
                <w:rFonts w:ascii="Arial" w:cs="Arial" w:eastAsia="Arial" w:hAnsi="Arial"/>
                <w:b/>
                <w:bCs/>
                <w:color w:val="FFFFFF"/>
                <w:sz w:val="20"/>
                <w:szCs w:val="20"/>
              </w:rPr>
              <w:t xml:space="preserve">Problème</w:t>
            </w:r>
          </w:p>
        </w:tc>
        <w:tc>
          <w:tcPr>
            <w:tcW w:type="dxa" w:w="3500"/>
            <w:shd w:fill="1B4F6A" w:val="clear"/>
            <w:tcMar>
              <w:top w:type="dxa" w:w="100"/>
              <w:left w:type="dxa" w:w="150"/>
              <w:bottom w:type="dxa" w:w="100"/>
              <w:right w:type="dxa" w:w="150"/>
            </w:tcMar>
          </w:tcPr>
          <w:p>
            <w:r>
              <w:rPr>
                <w:rFonts w:ascii="Arial" w:cs="Arial" w:eastAsia="Arial" w:hAnsi="Arial"/>
                <w:b/>
                <w:bCs/>
                <w:color w:val="FFFFFF"/>
                <w:sz w:val="20"/>
                <w:szCs w:val="20"/>
              </w:rPr>
              <w:t xml:space="preserve">Cause</w:t>
            </w:r>
          </w:p>
        </w:tc>
        <w:tc>
          <w:tcPr>
            <w:tcW w:type="dxa" w:w="2360"/>
            <w:shd w:fill="1B4F6A" w:val="clear"/>
            <w:tcMar>
              <w:top w:type="dxa" w:w="100"/>
              <w:left w:type="dxa" w:w="150"/>
              <w:bottom w:type="dxa" w:w="100"/>
              <w:right w:type="dxa" w:w="150"/>
            </w:tcMar>
          </w:tcPr>
          <w:p>
            <w:r>
              <w:rPr>
                <w:rFonts w:ascii="Arial" w:cs="Arial" w:eastAsia="Arial" w:hAnsi="Arial"/>
                <w:b/>
                <w:bCs/>
                <w:color w:val="FFFFFF"/>
                <w:sz w:val="20"/>
                <w:szCs w:val="20"/>
              </w:rPr>
              <w:t xml:space="preserve">Solution</w:t>
            </w:r>
          </w:p>
        </w:tc>
      </w:tr>
      <w:tr>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Erreur « Not a directory »</w:t>
            </w:r>
          </w:p>
        </w:tc>
        <w:tc>
          <w:tcPr>
            <w:tcW w:type="dxa" w:w="3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Chemin incorrect dans ExecStart systemd</w:t>
            </w:r>
          </w:p>
        </w:tc>
        <w:tc>
          <w:tcPr>
            <w:tcW w:type="dxa" w:w="2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Correction du chemin vers le binaire</w:t>
            </w:r>
          </w:p>
        </w:tc>
      </w:tr>
      <w:tr>
        <w:tc>
          <w:tcPr>
            <w:tcW w:type="dxa" w:w="2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SASL CRAM-MD5 non supporté</w:t>
            </w:r>
          </w:p>
        </w:tc>
        <w:tc>
          <w:tcPr>
            <w:tcW w:type="dxa" w:w="3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GoPhish v0.12.1 impose CRAM-MD5, incompatible avec saslauthd</w:t>
            </w:r>
          </w:p>
        </w:tc>
        <w:tc>
          <w:tcPr>
            <w:tcW w:type="dxa" w:w="2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Sécurisation par restriction IP (mynetworks)</w:t>
            </w:r>
          </w:p>
        </w:tc>
      </w:tr>
      <w:tr>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SSL_ERROR_NO_CYPHER_OVERLAP</w:t>
            </w:r>
          </w:p>
        </w:tc>
        <w:tc>
          <w:tcPr>
            <w:tcW w:type="dxa" w:w="3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GoPhish v0.12.1 utilise d’anciennes suites TLS</w:t>
            </w:r>
          </w:p>
        </w:tc>
        <w:tc>
          <w:tcPr>
            <w:tcW w:type="dxa" w:w="2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Reverse proxy Nginx avec TLS moderne</w:t>
            </w:r>
          </w:p>
        </w:tc>
      </w:tr>
      <w:tr>
        <w:tc>
          <w:tcPr>
            <w:tcW w:type="dxa" w:w="2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404 sur le domaine</w:t>
            </w:r>
          </w:p>
        </w:tc>
        <w:tc>
          <w:tcPr>
            <w:tcW w:type="dxa" w:w="3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Cache navigateur / rid invalide</w:t>
            </w:r>
          </w:p>
        </w:tc>
        <w:tc>
          <w:tcPr>
            <w:tcW w:type="dxa" w:w="2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Nouveau lien de campagne généré</w:t>
            </w:r>
          </w:p>
        </w:tc>
      </w:tr>
    </w:tbl>
    <w:p>
      <w:pPr>
        <w:spacing w:after="80" w:before="80"/>
      </w:pPr>
      <w:r>
        <w:t xml:space="preserve"/>
      </w:r>
    </w:p>
    <w:p>
      <w:r>
        <w:br w:type="page"/>
      </w:r>
    </w:p>
    <w:p>
      <w:pPr>
        <w:pStyle w:val="Heading1"/>
        <w:pBdr>
          <w:bottom w:val="single" w:color="1B4F6A" w:sz="4" w:space="4"/>
        </w:pBdr>
        <w:spacing w:after="160" w:before="480"/>
      </w:pPr>
      <w:r>
        <w:rPr>
          <w:rFonts w:ascii="Arial" w:cs="Arial" w:eastAsia="Arial" w:hAnsi="Arial"/>
          <w:b/>
          <w:bCs/>
          <w:color w:val="1B4F6A"/>
          <w:sz w:val="32"/>
          <w:szCs w:val="32"/>
        </w:rPr>
        <w:t xml:space="preserve">7. Sécurisation de l’infrastructure</w:t>
      </w:r>
    </w:p>
    <w:p>
      <w:pPr>
        <w:pStyle w:val="Heading2"/>
        <w:spacing w:after="120" w:before="280"/>
      </w:pPr>
      <w:r>
        <w:rPr>
          <w:rFonts w:ascii="Arial" w:cs="Arial" w:eastAsia="Arial" w:hAnsi="Arial"/>
          <w:b/>
          <w:bCs/>
          <w:color w:val="A0632A"/>
          <w:sz w:val="26"/>
          <w:szCs w:val="26"/>
        </w:rPr>
        <w:t xml:space="preserve">7.1 Pare-feu UFW – VPS GoPhish</w:t>
      </w:r>
    </w:p>
    <w:p>
      <w:pPr>
        <w:spacing w:after="120" w:before="120"/>
        <w:ind w:left="360"/>
      </w:pPr>
      <w:r>
        <w:rPr>
          <w:rFonts w:ascii="Courier New" w:cs="Courier New" w:eastAsia="Courier New" w:hAnsi="Courier New"/>
          <w:color w:val="1a1a2e"/>
          <w:sz w:val="18"/>
          <w:szCs w:val="18"/>
        </w:rPr>
        <w:t xml:space="preserve">sudo ufw allow from &lt;IP_ADMIN&gt; to any port 22    # SSH restreint à l'IP admin
sudo ufw allow from &lt;IP_ADMIN&gt; to any port 3333  # Interface admin restreinte
sudo ufw allow 80                                 # Landing page publique
sudo ufw allow 443                                # HTTPS public
sudo ufw enable</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7.2 Pare-feu UFW – VPS SMTP</w:t>
      </w:r>
    </w:p>
    <w:p>
      <w:pPr>
        <w:spacing w:after="120" w:before="120"/>
        <w:ind w:left="360"/>
      </w:pPr>
      <w:r>
        <w:rPr>
          <w:rFonts w:ascii="Courier New" w:cs="Courier New" w:eastAsia="Courier New" w:hAnsi="Courier New"/>
          <w:color w:val="1a1a2e"/>
          <w:sz w:val="18"/>
          <w:szCs w:val="18"/>
        </w:rPr>
        <w:t xml:space="preserve">sudo ufw allow from &lt;IP_ADMIN&gt; to any port 22
sudo ufw allow from 57.129.120.79 to any port 25  # SMTP depuis GoPhish uniquement
sudo ufw allow 80
sudo ufw allow 443
sudo ufw enable</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7.3 SPF – Sender Policy Framework</w:t>
      </w:r>
    </w:p>
    <w:p>
      <w:pPr>
        <w:spacing w:after="80" w:before="80"/>
      </w:pPr>
      <w:r>
        <w:rPr>
          <w:rFonts w:ascii="Arial" w:cs="Arial" w:eastAsia="Arial" w:hAnsi="Arial"/>
          <w:color w:val="333333"/>
          <w:sz w:val="22"/>
          <w:szCs w:val="22"/>
        </w:rPr>
        <w:t xml:space="preserve">L’enregistrement SPF déclare les IPs autorisées à envoyer des emails pour le domaine account-google.fr. Lorsque Gmail reçoit un email, il interroge le DNS pour vérifier si l’IP expéditrice est bien listée.</w:t>
      </w:r>
    </w:p>
    <w:p>
      <w:pPr>
        <w:spacing w:after="120" w:before="120"/>
        <w:ind w:left="360"/>
      </w:pPr>
      <w:r>
        <w:rPr>
          <w:rFonts w:ascii="Courier New" w:cs="Courier New" w:eastAsia="Courier New" w:hAnsi="Courier New"/>
          <w:b/>
          <w:bCs/>
          <w:color w:val="1B4F6A"/>
          <w:sz w:val="20"/>
          <w:szCs w:val="20"/>
        </w:rPr>
        <w:t xml:space="preserve">v=spf1 ip4:57.129.42.95 ~all</w:t>
      </w:r>
    </w:p>
    <w:p>
      <w:pPr>
        <w:spacing w:after="80" w:before="80"/>
      </w:pPr>
      <w:r>
        <w:rPr>
          <w:rFonts w:ascii="Arial" w:cs="Arial" w:eastAsia="Arial" w:hAnsi="Arial"/>
          <w:i/>
          <w:iCs/>
          <w:color w:val="555555"/>
          <w:sz w:val="22"/>
          <w:szCs w:val="22"/>
        </w:rPr>
        <w:t xml:space="preserve">Le suffixe ~all (softfail) a été préféré à -all (hardfail) pour éviter un rejet immédiat sur un domaine récent sans historique de réputation.</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7.4 DKIM et DMARC</w:t>
      </w:r>
    </w:p>
    <w:p>
      <w:pPr>
        <w:spacing w:after="80" w:before="80"/>
      </w:pPr>
      <w:r>
        <w:rPr>
          <w:rFonts w:ascii="Arial" w:cs="Arial" w:eastAsia="Arial" w:hAnsi="Arial"/>
          <w:color w:val="333333"/>
          <w:sz w:val="22"/>
          <w:szCs w:val="22"/>
        </w:rPr>
        <w:t xml:space="preserve">DKIM et DMARC n’ont pas été implémentés dans ce projet. L’accès au Google Admin de l’organisation a permis de whitelister le domaine expéditeur, rendant ces mécanismes non indispensables pour la délivrabilité dans ce contexte précis.</w:t>
      </w:r>
    </w:p>
    <w:p>
      <w:pPr>
        <w:spacing w:after="80" w:before="80"/>
      </w:pPr>
      <w:r>
        <w:rPr>
          <w:rFonts w:ascii="Arial" w:cs="Arial" w:eastAsia="Arial" w:hAnsi="Arial"/>
          <w:i/>
          <w:iCs/>
          <w:color w:val="555555"/>
          <w:sz w:val="22"/>
          <w:szCs w:val="22"/>
        </w:rPr>
        <w:t xml:space="preserve">Pour une mise en production pérenne, l’implémentation de DKIM et DMARC serait fortement recommandée afin de protéger le domaine contre le display name spoofing.</w:t>
      </w:r>
    </w:p>
    <w:p>
      <w:pPr>
        <w:spacing w:after="80" w:before="80"/>
      </w:pPr>
      <w:r>
        <w:t xml:space="preserve"/>
      </w:r>
    </w:p>
    <w:p>
      <w:r>
        <w:br w:type="page"/>
      </w:r>
    </w:p>
    <w:p>
      <w:pPr>
        <w:pStyle w:val="Heading1"/>
        <w:pBdr>
          <w:bottom w:val="single" w:color="1B4F6A" w:sz="4" w:space="4"/>
        </w:pBdr>
        <w:spacing w:after="160" w:before="480"/>
      </w:pPr>
      <w:r>
        <w:rPr>
          <w:rFonts w:ascii="Arial" w:cs="Arial" w:eastAsia="Arial" w:hAnsi="Arial"/>
          <w:b/>
          <w:bCs/>
          <w:color w:val="1B4F6A"/>
          <w:sz w:val="32"/>
          <w:szCs w:val="32"/>
        </w:rPr>
        <w:t xml:space="preserve">8. Configuration de l’outil GoPhish</w:t>
      </w:r>
    </w:p>
    <w:p>
      <w:pPr>
        <w:pStyle w:val="Heading2"/>
        <w:spacing w:after="120" w:before="280"/>
      </w:pPr>
      <w:r>
        <w:rPr>
          <w:rFonts w:ascii="Arial" w:cs="Arial" w:eastAsia="Arial" w:hAnsi="Arial"/>
          <w:b/>
          <w:bCs/>
          <w:color w:val="A0632A"/>
          <w:sz w:val="26"/>
          <w:szCs w:val="26"/>
        </w:rPr>
        <w:t xml:space="preserve">8.1 Profil d’envoi (Sending Profile)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500"/>
        <w:gridCol w:w="2800"/>
        <w:gridCol w:w="4060"/>
      </w:tblGrid>
      <w:tr>
        <w:trPr>
          <w:tblHeader/>
        </w:trPr>
        <w:tc>
          <w:tcPr>
            <w:tcW w:type="dxa" w:w="2500"/>
            <w:shd w:fill="1B4F6A" w:val="clear"/>
            <w:tcMar>
              <w:top w:type="dxa" w:w="100"/>
              <w:left w:type="dxa" w:w="150"/>
              <w:bottom w:type="dxa" w:w="100"/>
              <w:right w:type="dxa" w:w="150"/>
            </w:tcMar>
          </w:tcPr>
          <w:p>
            <w:r>
              <w:rPr>
                <w:rFonts w:ascii="Arial" w:cs="Arial" w:eastAsia="Arial" w:hAnsi="Arial"/>
                <w:b/>
                <w:bCs/>
                <w:color w:val="FFFFFF"/>
                <w:sz w:val="20"/>
                <w:szCs w:val="20"/>
              </w:rPr>
              <w:t xml:space="preserve">Champ</w:t>
            </w:r>
          </w:p>
        </w:tc>
        <w:tc>
          <w:tcPr>
            <w:tcW w:type="dxa" w:w="2800"/>
            <w:shd w:fill="1B4F6A" w:val="clear"/>
            <w:tcMar>
              <w:top w:type="dxa" w:w="100"/>
              <w:left w:type="dxa" w:w="150"/>
              <w:bottom w:type="dxa" w:w="100"/>
              <w:right w:type="dxa" w:w="150"/>
            </w:tcMar>
          </w:tcPr>
          <w:p>
            <w:r>
              <w:rPr>
                <w:rFonts w:ascii="Arial" w:cs="Arial" w:eastAsia="Arial" w:hAnsi="Arial"/>
                <w:b/>
                <w:bCs/>
                <w:color w:val="FFFFFF"/>
                <w:sz w:val="20"/>
                <w:szCs w:val="20"/>
              </w:rPr>
              <w:t xml:space="preserve">Valeur</w:t>
            </w:r>
          </w:p>
        </w:tc>
        <w:tc>
          <w:tcPr>
            <w:tcW w:type="dxa" w:w="4060"/>
            <w:shd w:fill="1B4F6A"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SMTP From</w:t>
            </w:r>
          </w:p>
        </w:tc>
        <w:tc>
          <w:tcPr>
            <w:tcW w:type="dxa" w:w="28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noreply@account-google.fr</w:t>
            </w:r>
          </w:p>
        </w:tc>
        <w:tc>
          <w:tcPr>
            <w:tcW w:type="dxa" w:w="40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Adresse expéditrice visible</w:t>
            </w:r>
          </w:p>
        </w:tc>
      </w:tr>
      <w:tr>
        <w:tc>
          <w:tcPr>
            <w:tcW w:type="dxa" w:w="2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Host</w:t>
            </w:r>
          </w:p>
        </w:tc>
        <w:tc>
          <w:tcPr>
            <w:tcW w:type="dxa" w:w="28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57.129.42.95:25</w:t>
            </w:r>
          </w:p>
        </w:tc>
        <w:tc>
          <w:tcPr>
            <w:tcW w:type="dxa" w:w="40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VPS SMTP + port SMTP</w:t>
            </w:r>
          </w:p>
        </w:tc>
      </w:tr>
      <w:tr>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Username / Password</w:t>
            </w:r>
          </w:p>
        </w:tc>
        <w:tc>
          <w:tcPr>
            <w:tcW w:type="dxa" w:w="28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Vides</w:t>
            </w:r>
          </w:p>
        </w:tc>
        <w:tc>
          <w:tcPr>
            <w:tcW w:type="dxa" w:w="40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Auth par IP via mynetworks</w:t>
            </w:r>
          </w:p>
        </w:tc>
      </w:tr>
      <w:tr>
        <w:tc>
          <w:tcPr>
            <w:tcW w:type="dxa" w:w="2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Ignore Certificate Errors</w:t>
            </w:r>
          </w:p>
        </w:tc>
        <w:tc>
          <w:tcPr>
            <w:tcW w:type="dxa" w:w="28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Activé</w:t>
            </w:r>
          </w:p>
        </w:tc>
        <w:tc>
          <w:tcPr>
            <w:tcW w:type="dxa" w:w="40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Certificat auto-signé admin</w:t>
            </w:r>
          </w:p>
        </w:tc>
      </w:tr>
    </w:tbl>
    <w:p>
      <w:pPr>
        <w:spacing w:after="80" w:before="80"/>
      </w:pPr>
      <w:r>
        <w:t xml:space="preserve"/>
      </w:r>
    </w:p>
    <w:p>
      <w:pPr>
        <w:pStyle w:val="Heading2"/>
        <w:spacing w:after="120" w:before="280"/>
      </w:pPr>
      <w:r>
        <w:rPr>
          <w:rFonts w:ascii="Arial" w:cs="Arial" w:eastAsia="Arial" w:hAnsi="Arial"/>
          <w:b/>
          <w:bCs/>
          <w:color w:val="A0632A"/>
          <w:sz w:val="26"/>
          <w:szCs w:val="26"/>
        </w:rPr>
        <w:t xml:space="preserve">8.2 Template d’email</w:t>
      </w:r>
    </w:p>
    <w:p>
      <w:pPr>
        <w:spacing w:after="80" w:before="80"/>
      </w:pPr>
      <w:r>
        <w:rPr>
          <w:rFonts w:ascii="Arial" w:cs="Arial" w:eastAsia="Arial" w:hAnsi="Arial"/>
          <w:color w:val="333333"/>
          <w:sz w:val="22"/>
          <w:szCs w:val="22"/>
        </w:rPr>
        <w:t xml:space="preserve">L’email simule une alerte de sécurité Google Workspace signalant une connexion suspecte depuis Bucarest, Roumanie. Ce scénario crée un sentiment d’urgence qui pousse les utilisateurs à agir sans réfléchir — technique classique de social engineering.</w:t>
      </w:r>
    </w:p>
    <w:p>
      <w:pPr>
        <w:pStyle w:val="ListParagraph"/>
        <w:numPr>
          <w:ilvl w:val="0"/>
          <w:numId w:val="2"/>
        </w:numPr>
        <w:spacing w:after="60" w:before="60"/>
      </w:pPr>
      <w:r>
        <w:rPr>
          <w:rFonts w:ascii="Arial" w:cs="Arial" w:eastAsia="Arial" w:hAnsi="Arial"/>
          <w:color w:val="333333"/>
          <w:sz w:val="22"/>
          <w:szCs w:val="22"/>
        </w:rPr>
        <w:t xml:space="preserve">Identité visuelle Google fidèlement reproduite (logo SVG, couleurs, typographie)</w:t>
      </w:r>
    </w:p>
    <w:p>
      <w:pPr>
        <w:pStyle w:val="ListParagraph"/>
        <w:numPr>
          <w:ilvl w:val="0"/>
          <w:numId w:val="2"/>
        </w:numPr>
        <w:spacing w:after="60" w:before="60"/>
      </w:pPr>
      <w:r>
        <w:rPr>
          <w:rFonts w:ascii="Arial" w:cs="Arial" w:eastAsia="Arial" w:hAnsi="Arial"/>
          <w:color w:val="333333"/>
          <w:sz w:val="22"/>
          <w:szCs w:val="22"/>
        </w:rPr>
        <w:t xml:space="preserve">Personnalisation par prénom via la variable {{.FirstName}}</w:t>
      </w:r>
    </w:p>
    <w:p>
      <w:pPr>
        <w:pStyle w:val="ListParagraph"/>
        <w:numPr>
          <w:ilvl w:val="0"/>
          <w:numId w:val="2"/>
        </w:numPr>
        <w:spacing w:after="60" w:before="60"/>
      </w:pPr>
      <w:r>
        <w:rPr>
          <w:rFonts w:ascii="Arial" w:cs="Arial" w:eastAsia="Arial" w:hAnsi="Arial"/>
          <w:color w:val="333333"/>
          <w:sz w:val="22"/>
          <w:szCs w:val="22"/>
        </w:rPr>
        <w:t xml:space="preserve">Bouton d’action avec lien {{.URL}} injecté automatiquement par GoPhish</w:t>
      </w:r>
    </w:p>
    <w:p>
      <w:pPr>
        <w:pStyle w:val="ListParagraph"/>
        <w:numPr>
          <w:ilvl w:val="0"/>
          <w:numId w:val="2"/>
        </w:numPr>
        <w:spacing w:after="60" w:before="60"/>
      </w:pPr>
      <w:r>
        <w:rPr>
          <w:rFonts w:ascii="Arial" w:cs="Arial" w:eastAsia="Arial" w:hAnsi="Arial"/>
          <w:color w:val="333333"/>
          <w:sz w:val="22"/>
          <w:szCs w:val="22"/>
        </w:rPr>
        <w:t xml:space="preserve">Pixel de tracking 1×1px pour mesurer les ouvertures</w:t>
      </w:r>
    </w:p>
    <w:p>
      <w:pPr>
        <w:pStyle w:val="ListParagraph"/>
        <w:numPr>
          <w:ilvl w:val="0"/>
          <w:numId w:val="2"/>
        </w:numPr>
        <w:spacing w:after="60" w:before="60"/>
      </w:pPr>
      <w:r>
        <w:rPr>
          <w:rFonts w:ascii="Arial" w:cs="Arial" w:eastAsia="Arial" w:hAnsi="Arial"/>
          <w:color w:val="333333"/>
          <w:sz w:val="22"/>
          <w:szCs w:val="22"/>
        </w:rPr>
        <w:t xml:space="preserve">Objet : « Alerte de sécurité – Activité inhabituelle détectée »</w:t>
      </w:r>
    </w:p>
    <w:p>
      <w:pPr>
        <w:spacing w:after="80" w:before="80"/>
      </w:pPr>
      <w:r>
        <w:rPr>
          <w:rFonts w:ascii="Arial" w:cs="Arial" w:eastAsia="Arial" w:hAnsi="Arial"/>
          <w:i/>
          <w:iCs/>
          <w:color w:val="555555"/>
          <w:sz w:val="22"/>
          <w:szCs w:val="22"/>
        </w:rPr>
        <w:t xml:space="preserve">Limite du tracking pixel : Gmail précharge les images via ses propres serveurs depuis 2021. L’IP enregistrée est celle de Google, rendant les statistiques d’ouverture potentiellement surestimées.</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8.3 Landing page</w:t>
      </w:r>
    </w:p>
    <w:p>
      <w:pPr>
        <w:spacing w:after="80" w:before="80"/>
      </w:pPr>
      <w:r>
        <w:rPr>
          <w:rFonts w:ascii="Arial" w:cs="Arial" w:eastAsia="Arial" w:hAnsi="Arial"/>
          <w:color w:val="333333"/>
          <w:sz w:val="22"/>
          <w:szCs w:val="22"/>
        </w:rPr>
        <w:t xml:space="preserve">La landing page reproduit fidèlement la page de saisie de mot de passe Google. L’adresse email de la cible est pré-remplie via {{.Email}}, renforçant la crédibilité.</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500"/>
        <w:gridCol w:w="5860"/>
      </w:tblGrid>
      <w:tr>
        <w:trPr>
          <w:tblHeader/>
        </w:trPr>
        <w:tc>
          <w:tcPr>
            <w:tcW w:type="dxa" w:w="3500"/>
            <w:shd w:fill="1B4F6A" w:val="clear"/>
            <w:tcMar>
              <w:top w:type="dxa" w:w="100"/>
              <w:left w:type="dxa" w:w="150"/>
              <w:bottom w:type="dxa" w:w="100"/>
              <w:right w:type="dxa" w:w="150"/>
            </w:tcMar>
          </w:tcPr>
          <w:p>
            <w:r>
              <w:rPr>
                <w:rFonts w:ascii="Arial" w:cs="Arial" w:eastAsia="Arial" w:hAnsi="Arial"/>
                <w:b/>
                <w:bCs/>
                <w:color w:val="FFFFFF"/>
                <w:sz w:val="20"/>
                <w:szCs w:val="20"/>
              </w:rPr>
              <w:t xml:space="preserve">Paramètre</w:t>
            </w:r>
          </w:p>
        </w:tc>
        <w:tc>
          <w:tcPr>
            <w:tcW w:type="dxa" w:w="5860"/>
            <w:shd w:fill="1B4F6A" w:val="clear"/>
            <w:tcMar>
              <w:top w:type="dxa" w:w="100"/>
              <w:left w:type="dxa" w:w="150"/>
              <w:bottom w:type="dxa" w:w="100"/>
              <w:right w:type="dxa" w:w="150"/>
            </w:tcMar>
          </w:tcPr>
          <w:p>
            <w:r>
              <w:rPr>
                <w:rFonts w:ascii="Arial" w:cs="Arial" w:eastAsia="Arial" w:hAnsi="Arial"/>
                <w:b/>
                <w:bCs/>
                <w:color w:val="FFFFFF"/>
                <w:sz w:val="20"/>
                <w:szCs w:val="20"/>
              </w:rPr>
              <w:t xml:space="preserve">Valeur</w:t>
            </w:r>
          </w:p>
        </w:tc>
      </w:tr>
      <w:tr>
        <w:tc>
          <w:tcPr>
            <w:tcW w:type="dxa" w:w="3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Capture Submitted Data</w:t>
            </w:r>
          </w:p>
        </w:tc>
        <w:tc>
          <w:tcPr>
            <w:tcW w:type="dxa" w:w="5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Activé</w:t>
            </w:r>
          </w:p>
        </w:tc>
      </w:tr>
      <w:tr>
        <w:tc>
          <w:tcPr>
            <w:tcW w:type="dxa" w:w="3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Capture Passwords</w:t>
            </w:r>
          </w:p>
        </w:tc>
        <w:tc>
          <w:tcPr>
            <w:tcW w:type="dxa" w:w="58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Activé</w:t>
            </w:r>
          </w:p>
        </w:tc>
      </w:tr>
      <w:tr>
        <w:tc>
          <w:tcPr>
            <w:tcW w:type="dxa" w:w="3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Redirect to</w:t>
            </w:r>
          </w:p>
        </w:tc>
        <w:tc>
          <w:tcPr>
            <w:tcW w:type="dxa" w:w="5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https://awareness.account-google.fr/awareness.html</w:t>
            </w:r>
          </w:p>
        </w:tc>
      </w:tr>
    </w:tbl>
    <w:p>
      <w:pPr>
        <w:spacing w:after="80" w:before="80"/>
      </w:pPr>
      <w:r>
        <w:t xml:space="preserve"/>
      </w:r>
    </w:p>
    <w:p>
      <w:pPr>
        <w:pStyle w:val="Heading2"/>
        <w:spacing w:after="120" w:before="280"/>
      </w:pPr>
      <w:r>
        <w:rPr>
          <w:rFonts w:ascii="Arial" w:cs="Arial" w:eastAsia="Arial" w:hAnsi="Arial"/>
          <w:b/>
          <w:bCs/>
          <w:color w:val="A0632A"/>
          <w:sz w:val="26"/>
          <w:szCs w:val="26"/>
        </w:rPr>
        <w:t xml:space="preserve">8.4 Page de sensibilisation</w:t>
      </w:r>
    </w:p>
    <w:p>
      <w:pPr>
        <w:spacing w:after="80" w:before="80"/>
      </w:pPr>
      <w:r>
        <w:rPr>
          <w:rFonts w:ascii="Arial" w:cs="Arial" w:eastAsia="Arial" w:hAnsi="Arial"/>
          <w:color w:val="333333"/>
          <w:sz w:val="22"/>
          <w:szCs w:val="22"/>
        </w:rPr>
        <w:t xml:space="preserve">Hébergée sur le VPS SMTP via Nginx, la page de sensibilisation est accessible en HTTPS sur awareness.account-google.fr. Elle informe la cible qu’il s’agissait d’un test, lui prodigue les bons réflexes et lui demande de ne pas en parler à ses pairs pour préserver l’intégrité de la campagne.</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8.5 Groupe de cibles et campagne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500"/>
        <w:gridCol w:w="5860"/>
      </w:tblGrid>
      <w:tr>
        <w:trPr>
          <w:tblHeader/>
        </w:trPr>
        <w:tc>
          <w:tcPr>
            <w:tcW w:type="dxa" w:w="3500"/>
            <w:shd w:fill="1B4F6A" w:val="clear"/>
            <w:tcMar>
              <w:top w:type="dxa" w:w="100"/>
              <w:left w:type="dxa" w:w="150"/>
              <w:bottom w:type="dxa" w:w="100"/>
              <w:right w:type="dxa" w:w="150"/>
            </w:tcMar>
          </w:tcPr>
          <w:p>
            <w:r>
              <w:rPr>
                <w:rFonts w:ascii="Arial" w:cs="Arial" w:eastAsia="Arial" w:hAnsi="Arial"/>
                <w:b/>
                <w:bCs/>
                <w:color w:val="FFFFFF"/>
                <w:sz w:val="20"/>
                <w:szCs w:val="20"/>
              </w:rPr>
              <w:t xml:space="preserve">Paramètre</w:t>
            </w:r>
          </w:p>
        </w:tc>
        <w:tc>
          <w:tcPr>
            <w:tcW w:type="dxa" w:w="5860"/>
            <w:shd w:fill="1B4F6A" w:val="clear"/>
            <w:tcMar>
              <w:top w:type="dxa" w:w="100"/>
              <w:left w:type="dxa" w:w="150"/>
              <w:bottom w:type="dxa" w:w="100"/>
              <w:right w:type="dxa" w:w="150"/>
            </w:tcMar>
          </w:tcPr>
          <w:p>
            <w:r>
              <w:rPr>
                <w:rFonts w:ascii="Arial" w:cs="Arial" w:eastAsia="Arial" w:hAnsi="Arial"/>
                <w:b/>
                <w:bCs/>
                <w:color w:val="FFFFFF"/>
                <w:sz w:val="20"/>
                <w:szCs w:val="20"/>
              </w:rPr>
              <w:t xml:space="preserve">Valeur</w:t>
            </w:r>
          </w:p>
        </w:tc>
      </w:tr>
      <w:tr>
        <w:tc>
          <w:tcPr>
            <w:tcW w:type="dxa" w:w="3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Groupe</w:t>
            </w:r>
          </w:p>
        </w:tc>
        <w:tc>
          <w:tcPr>
            <w:tcW w:type="dxa" w:w="5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Bénévoles – AGSE (513 membres)</w:t>
            </w:r>
          </w:p>
        </w:tc>
      </w:tr>
      <w:tr>
        <w:tc>
          <w:tcPr>
            <w:tcW w:type="dxa" w:w="3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Source</w:t>
            </w:r>
          </w:p>
        </w:tc>
        <w:tc>
          <w:tcPr>
            <w:tcW w:type="dxa" w:w="58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Import CSV depuis annuaire Google Workspace</w:t>
            </w:r>
          </w:p>
        </w:tc>
      </w:tr>
      <w:tr>
        <w:tc>
          <w:tcPr>
            <w:tcW w:type="dxa" w:w="3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URL campagne</w:t>
            </w:r>
          </w:p>
        </w:tc>
        <w:tc>
          <w:tcPr>
            <w:tcW w:type="dxa" w:w="5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https://signin.account-google.fr</w:t>
            </w:r>
          </w:p>
        </w:tc>
      </w:tr>
      <w:tr>
        <w:tc>
          <w:tcPr>
            <w:tcW w:type="dxa" w:w="3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Date de lancement</w:t>
            </w:r>
          </w:p>
        </w:tc>
        <w:tc>
          <w:tcPr>
            <w:tcW w:type="dxa" w:w="58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5 mai 2026</w:t>
            </w:r>
          </w:p>
        </w:tc>
      </w:tr>
    </w:tbl>
    <w:p>
      <w:pPr>
        <w:spacing w:after="80" w:before="80"/>
      </w:pPr>
      <w:r>
        <w:t xml:space="preserve"/>
      </w:r>
    </w:p>
    <w:p>
      <w:r>
        <w:br w:type="page"/>
      </w:r>
    </w:p>
    <w:p>
      <w:pPr>
        <w:pStyle w:val="Heading1"/>
        <w:pBdr>
          <w:bottom w:val="single" w:color="1B4F6A" w:sz="4" w:space="4"/>
        </w:pBdr>
        <w:spacing w:after="160" w:before="480"/>
      </w:pPr>
      <w:r>
        <w:rPr>
          <w:rFonts w:ascii="Arial" w:cs="Arial" w:eastAsia="Arial" w:hAnsi="Arial"/>
          <w:b/>
          <w:bCs/>
          <w:color w:val="1B4F6A"/>
          <w:sz w:val="32"/>
          <w:szCs w:val="32"/>
        </w:rPr>
        <w:t xml:space="preserve">9. Tests et validation</w:t>
      </w:r>
    </w:p>
    <w:p>
      <w:pPr>
        <w:pStyle w:val="Heading2"/>
        <w:spacing w:after="120" w:before="280"/>
      </w:pPr>
      <w:r>
        <w:rPr>
          <w:rFonts w:ascii="Arial" w:cs="Arial" w:eastAsia="Arial" w:hAnsi="Arial"/>
          <w:b/>
          <w:bCs/>
          <w:color w:val="A0632A"/>
          <w:sz w:val="26"/>
          <w:szCs w:val="26"/>
        </w:rPr>
        <w:t xml:space="preserve">9.1 Plan de tests</w:t>
      </w:r>
    </w:p>
    <w:tbl>
      <w:tblPr>
        <w:tblW w:type="dxa" w:w="8360"/>
        <w:tblBorders>
          <w:top w:val="single" w:color="CCCCCC" w:sz="1"/>
          <w:left w:val="single" w:color="CCCCCC" w:sz="1"/>
          <w:bottom w:val="single" w:color="CCCCCC" w:sz="1"/>
          <w:right w:val="single" w:color="CCCCCC" w:sz="1"/>
          <w:insideH w:val="single" w:color="auto" w:sz="4"/>
          <w:insideV w:val="single" w:color="auto" w:sz="4"/>
        </w:tblBorders>
      </w:tblPr>
      <w:tblGrid>
        <w:gridCol w:w="2000"/>
        <w:gridCol w:w="2400"/>
        <w:gridCol w:w="2700"/>
        <w:gridCol w:w="1260"/>
      </w:tblGrid>
      <w:tr>
        <w:trPr>
          <w:tblHeader/>
        </w:trPr>
        <w:tc>
          <w:tcPr>
            <w:tcW w:type="dxa" w:w="2000"/>
            <w:shd w:fill="1B4F6A" w:val="clear"/>
            <w:tcMar>
              <w:top w:type="dxa" w:w="100"/>
              <w:left w:type="dxa" w:w="150"/>
              <w:bottom w:type="dxa" w:w="100"/>
              <w:right w:type="dxa" w:w="150"/>
            </w:tcMar>
          </w:tcPr>
          <w:p>
            <w:r>
              <w:rPr>
                <w:rFonts w:ascii="Arial" w:cs="Arial" w:eastAsia="Arial" w:hAnsi="Arial"/>
                <w:b/>
                <w:bCs/>
                <w:color w:val="FFFFFF"/>
                <w:sz w:val="20"/>
                <w:szCs w:val="20"/>
              </w:rPr>
              <w:t xml:space="preserve">Test</w:t>
            </w:r>
          </w:p>
        </w:tc>
        <w:tc>
          <w:tcPr>
            <w:tcW w:type="dxa" w:w="2400"/>
            <w:shd w:fill="1B4F6A" w:val="clear"/>
            <w:tcMar>
              <w:top w:type="dxa" w:w="100"/>
              <w:left w:type="dxa" w:w="150"/>
              <w:bottom w:type="dxa" w:w="100"/>
              <w:right w:type="dxa" w:w="150"/>
            </w:tcMar>
          </w:tcPr>
          <w:p>
            <w:r>
              <w:rPr>
                <w:rFonts w:ascii="Arial" w:cs="Arial" w:eastAsia="Arial" w:hAnsi="Arial"/>
                <w:b/>
                <w:bCs/>
                <w:color w:val="FFFFFF"/>
                <w:sz w:val="20"/>
                <w:szCs w:val="20"/>
              </w:rPr>
              <w:t xml:space="preserve">Méthode</w:t>
            </w:r>
          </w:p>
        </w:tc>
        <w:tc>
          <w:tcPr>
            <w:tcW w:type="dxa" w:w="2700"/>
            <w:shd w:fill="1B4F6A" w:val="clear"/>
            <w:tcMar>
              <w:top w:type="dxa" w:w="100"/>
              <w:left w:type="dxa" w:w="150"/>
              <w:bottom w:type="dxa" w:w="100"/>
              <w:right w:type="dxa" w:w="150"/>
            </w:tcMar>
          </w:tcPr>
          <w:p>
            <w:r>
              <w:rPr>
                <w:rFonts w:ascii="Arial" w:cs="Arial" w:eastAsia="Arial" w:hAnsi="Arial"/>
                <w:b/>
                <w:bCs/>
                <w:color w:val="FFFFFF"/>
                <w:sz w:val="20"/>
                <w:szCs w:val="20"/>
              </w:rPr>
              <w:t xml:space="preserve">Critère de succès</w:t>
            </w:r>
          </w:p>
        </w:tc>
        <w:tc>
          <w:tcPr>
            <w:tcW w:type="dxa" w:w="1260"/>
            <w:shd w:fill="1B4F6A" w:val="clear"/>
            <w:tcMar>
              <w:top w:type="dxa" w:w="100"/>
              <w:left w:type="dxa" w:w="150"/>
              <w:bottom w:type="dxa" w:w="100"/>
              <w:right w:type="dxa" w:w="150"/>
            </w:tcMar>
          </w:tcPr>
          <w:p>
            <w:r>
              <w:rPr>
                <w:rFonts w:ascii="Arial" w:cs="Arial" w:eastAsia="Arial" w:hAnsi="Arial"/>
                <w:b/>
                <w:bCs/>
                <w:color w:val="FFFFFF"/>
                <w:sz w:val="20"/>
                <w:szCs w:val="20"/>
              </w:rPr>
              <w:t xml:space="preserve">Résultat</w:t>
            </w:r>
          </w:p>
        </w:tc>
      </w:tr>
      <w:tr>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Envoi SMTP</w:t>
            </w:r>
          </w:p>
        </w:tc>
        <w:tc>
          <w:tcPr>
            <w:tcW w:type="dxa" w:w="24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Send Test Email GoPhish</w:t>
            </w:r>
          </w:p>
        </w:tc>
        <w:tc>
          <w:tcPr>
            <w:tcW w:type="dxa" w:w="27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Email reçu sur VPS SMTP</w:t>
            </w:r>
          </w:p>
        </w:tc>
        <w:tc>
          <w:tcPr>
            <w:tcW w:type="dxa" w:w="12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 OK</w:t>
            </w:r>
          </w:p>
        </w:tc>
      </w:tr>
      <w:tr>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Délivrabilité Gmail</w:t>
            </w:r>
          </w:p>
        </w:tc>
        <w:tc>
          <w:tcPr>
            <w:tcW w:type="dxa" w:w="24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Envoi vers boîte réelle</w:t>
            </w:r>
          </w:p>
        </w:tc>
        <w:tc>
          <w:tcPr>
            <w:tcW w:type="dxa" w:w="27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Email en boîte de réception</w:t>
            </w:r>
          </w:p>
        </w:tc>
        <w:tc>
          <w:tcPr>
            <w:tcW w:type="dxa" w:w="12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 OK</w:t>
            </w:r>
          </w:p>
        </w:tc>
      </w:tr>
      <w:tr>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Affichage landing page</w:t>
            </w:r>
          </w:p>
        </w:tc>
        <w:tc>
          <w:tcPr>
            <w:tcW w:type="dxa" w:w="24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Tablette en 4G</w:t>
            </w:r>
          </w:p>
        </w:tc>
        <w:tc>
          <w:tcPr>
            <w:tcW w:type="dxa" w:w="27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Page Google affichée, email pré-rempli</w:t>
            </w:r>
          </w:p>
        </w:tc>
        <w:tc>
          <w:tcPr>
            <w:tcW w:type="dxa" w:w="12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 OK</w:t>
            </w:r>
          </w:p>
        </w:tc>
      </w:tr>
      <w:tr>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Capture credentials</w:t>
            </w:r>
          </w:p>
        </w:tc>
        <w:tc>
          <w:tcPr>
            <w:tcW w:type="dxa" w:w="24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Saisie mot de passe test</w:t>
            </w:r>
          </w:p>
        </w:tc>
        <w:tc>
          <w:tcPr>
            <w:tcW w:type="dxa" w:w="27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Credentials visibles dans GoPhish</w:t>
            </w:r>
          </w:p>
        </w:tc>
        <w:tc>
          <w:tcPr>
            <w:tcW w:type="dxa" w:w="12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 OK</w:t>
            </w:r>
          </w:p>
        </w:tc>
      </w:tr>
      <w:tr>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Redirection awareness</w:t>
            </w:r>
          </w:p>
        </w:tc>
        <w:tc>
          <w:tcPr>
            <w:tcW w:type="dxa" w:w="24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Soumission formulaire</w:t>
            </w:r>
          </w:p>
        </w:tc>
        <w:tc>
          <w:tcPr>
            <w:tcW w:type="dxa" w:w="27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Page sensibilisation affichée</w:t>
            </w:r>
          </w:p>
        </w:tc>
        <w:tc>
          <w:tcPr>
            <w:tcW w:type="dxa" w:w="12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 OK</w:t>
            </w:r>
          </w:p>
        </w:tc>
      </w:tr>
      <w:tr>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HTTPS landing page</w:t>
            </w:r>
          </w:p>
        </w:tc>
        <w:tc>
          <w:tcPr>
            <w:tcW w:type="dxa" w:w="24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Navigateur externe</w:t>
            </w:r>
          </w:p>
        </w:tc>
        <w:tc>
          <w:tcPr>
            <w:tcW w:type="dxa" w:w="27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Cadenas visible, pas d’erreur TLS</w:t>
            </w:r>
          </w:p>
        </w:tc>
        <w:tc>
          <w:tcPr>
            <w:tcW w:type="dxa" w:w="12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 OK</w:t>
            </w:r>
          </w:p>
        </w:tc>
      </w:tr>
    </w:tbl>
    <w:p>
      <w:pPr>
        <w:spacing w:after="80" w:before="80"/>
      </w:pPr>
      <w:r>
        <w:t xml:space="preserve"/>
      </w:r>
    </w:p>
    <w:p>
      <w:pPr>
        <w:pStyle w:val="Heading2"/>
        <w:spacing w:after="120" w:before="280"/>
      </w:pPr>
      <w:r>
        <w:rPr>
          <w:rFonts w:ascii="Arial" w:cs="Arial" w:eastAsia="Arial" w:hAnsi="Arial"/>
          <w:b/>
          <w:bCs/>
          <w:color w:val="A0632A"/>
          <w:sz w:val="26"/>
          <w:szCs w:val="26"/>
        </w:rPr>
        <w:t xml:space="preserve">9.2 Difficultés rencontrées lors des tests</w:t>
      </w:r>
    </w:p>
    <w:p>
      <w:pPr>
        <w:spacing w:after="80" w:before="80"/>
      </w:pPr>
      <w:r>
        <w:rPr>
          <w:rFonts w:ascii="Arial" w:cs="Arial" w:eastAsia="Arial" w:hAnsi="Arial"/>
          <w:color w:val="333333"/>
          <w:sz w:val="22"/>
          <w:szCs w:val="22"/>
        </w:rPr>
        <w:t xml:space="preserve">Les tests depuis le réseau de l’entreprise ont été bloqués par le filtre de sécurité de l’organisation, qui a détecté le domaine account-google.fr comme suspect. Ce comportement valide paradoxalement l’efficacité des outils de protection en place. Les tests ont donc été réalisés depuis un réseau externe (4G).</w:t>
      </w:r>
    </w:p>
    <w:p>
      <w:r>
        <w:br w:type="page"/>
      </w:r>
    </w:p>
    <w:p>
      <w:pPr>
        <w:pStyle w:val="Heading1"/>
        <w:pBdr>
          <w:bottom w:val="single" w:color="1B4F6A" w:sz="4" w:space="4"/>
        </w:pBdr>
        <w:spacing w:after="160" w:before="480"/>
      </w:pPr>
      <w:r>
        <w:rPr>
          <w:rFonts w:ascii="Arial" w:cs="Arial" w:eastAsia="Arial" w:hAnsi="Arial"/>
          <w:b/>
          <w:bCs/>
          <w:color w:val="1B4F6A"/>
          <w:sz w:val="32"/>
          <w:szCs w:val="32"/>
        </w:rPr>
        <w:t xml:space="preserve">10. Résultats, analyse et recommandations</w:t>
      </w:r>
    </w:p>
    <w:p>
      <w:pPr>
        <w:pStyle w:val="Heading2"/>
        <w:spacing w:after="120" w:before="280"/>
      </w:pPr>
      <w:r>
        <w:rPr>
          <w:rFonts w:ascii="Arial" w:cs="Arial" w:eastAsia="Arial" w:hAnsi="Arial"/>
          <w:b/>
          <w:bCs/>
          <w:color w:val="A0632A"/>
          <w:sz w:val="26"/>
          <w:szCs w:val="26"/>
        </w:rPr>
        <w:t xml:space="preserve">10.1 Résultats de la campagne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000"/>
        <w:gridCol w:w="2500"/>
        <w:gridCol w:w="2860"/>
      </w:tblGrid>
      <w:tr>
        <w:trPr>
          <w:tblHeader/>
        </w:trPr>
        <w:tc>
          <w:tcPr>
            <w:tcW w:type="dxa" w:w="4000"/>
            <w:shd w:fill="1B4F6A" w:val="clear"/>
            <w:tcMar>
              <w:top w:type="dxa" w:w="100"/>
              <w:left w:type="dxa" w:w="150"/>
              <w:bottom w:type="dxa" w:w="100"/>
              <w:right w:type="dxa" w:w="150"/>
            </w:tcMar>
          </w:tcPr>
          <w:p>
            <w:r>
              <w:rPr>
                <w:rFonts w:ascii="Arial" w:cs="Arial" w:eastAsia="Arial" w:hAnsi="Arial"/>
                <w:b/>
                <w:bCs/>
                <w:color w:val="FFFFFF"/>
                <w:sz w:val="20"/>
                <w:szCs w:val="20"/>
              </w:rPr>
              <w:t xml:space="preserve">Métrique</w:t>
            </w:r>
          </w:p>
        </w:tc>
        <w:tc>
          <w:tcPr>
            <w:tcW w:type="dxa" w:w="2500"/>
            <w:shd w:fill="1B4F6A" w:val="clear"/>
            <w:tcMar>
              <w:top w:type="dxa" w:w="100"/>
              <w:left w:type="dxa" w:w="150"/>
              <w:bottom w:type="dxa" w:w="100"/>
              <w:right w:type="dxa" w:w="150"/>
            </w:tcMar>
          </w:tcPr>
          <w:p>
            <w:r>
              <w:rPr>
                <w:rFonts w:ascii="Arial" w:cs="Arial" w:eastAsia="Arial" w:hAnsi="Arial"/>
                <w:b/>
                <w:bCs/>
                <w:color w:val="FFFFFF"/>
                <w:sz w:val="20"/>
                <w:szCs w:val="20"/>
              </w:rPr>
              <w:t xml:space="preserve">Valeur absolue</w:t>
            </w:r>
          </w:p>
        </w:tc>
        <w:tc>
          <w:tcPr>
            <w:tcW w:type="dxa" w:w="2860"/>
            <w:shd w:fill="1B4F6A" w:val="clear"/>
            <w:tcMar>
              <w:top w:type="dxa" w:w="100"/>
              <w:left w:type="dxa" w:w="150"/>
              <w:bottom w:type="dxa" w:w="100"/>
              <w:right w:type="dxa" w:w="150"/>
            </w:tcMar>
          </w:tcPr>
          <w:p>
            <w:r>
              <w:rPr>
                <w:rFonts w:ascii="Arial" w:cs="Arial" w:eastAsia="Arial" w:hAnsi="Arial"/>
                <w:b/>
                <w:bCs/>
                <w:color w:val="FFFFFF"/>
                <w:sz w:val="20"/>
                <w:szCs w:val="20"/>
              </w:rPr>
              <w:t xml:space="preserve">Taux</w:t>
            </w:r>
          </w:p>
        </w:tc>
      </w:tr>
      <w:tr>
        <w:tc>
          <w:tcPr>
            <w:tcW w:type="dxa" w:w="4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Emails envoyés</w:t>
            </w:r>
          </w:p>
        </w:tc>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513</w:t>
            </w:r>
          </w:p>
        </w:tc>
        <w:tc>
          <w:tcPr>
            <w:tcW w:type="dxa" w:w="2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100%</w:t>
            </w:r>
          </w:p>
        </w:tc>
      </w:tr>
      <w:tr>
        <w:tc>
          <w:tcPr>
            <w:tcW w:type="dxa" w:w="4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Emails ouverts (tracking pixel)</w:t>
            </w:r>
          </w:p>
        </w:tc>
        <w:tc>
          <w:tcPr>
            <w:tcW w:type="dxa" w:w="2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387</w:t>
            </w:r>
          </w:p>
        </w:tc>
        <w:tc>
          <w:tcPr>
            <w:tcW w:type="dxa" w:w="28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75,4%</w:t>
            </w:r>
          </w:p>
        </w:tc>
      </w:tr>
      <w:tr>
        <w:tc>
          <w:tcPr>
            <w:tcW w:type="dxa" w:w="4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Clics sur le lien</w:t>
            </w:r>
          </w:p>
        </w:tc>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156</w:t>
            </w:r>
          </w:p>
        </w:tc>
        <w:tc>
          <w:tcPr>
            <w:tcW w:type="dxa" w:w="2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30,4%</w:t>
            </w:r>
          </w:p>
        </w:tc>
      </w:tr>
      <w:tr>
        <w:tc>
          <w:tcPr>
            <w:tcW w:type="dxa" w:w="4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Identifiants soumis</w:t>
            </w:r>
          </w:p>
        </w:tc>
        <w:tc>
          <w:tcPr>
            <w:tcW w:type="dxa" w:w="2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89</w:t>
            </w:r>
          </w:p>
        </w:tc>
        <w:tc>
          <w:tcPr>
            <w:tcW w:type="dxa" w:w="28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17,3%</w:t>
            </w:r>
          </w:p>
        </w:tc>
      </w:tr>
      <w:tr>
        <w:tc>
          <w:tcPr>
            <w:tcW w:type="dxa" w:w="4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Signalements au support IT</w:t>
            </w:r>
          </w:p>
        </w:tc>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12</w:t>
            </w:r>
          </w:p>
        </w:tc>
        <w:tc>
          <w:tcPr>
            <w:tcW w:type="dxa" w:w="28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2,3%</w:t>
            </w:r>
          </w:p>
        </w:tc>
      </w:tr>
    </w:tbl>
    <w:p>
      <w:pPr>
        <w:spacing w:after="80" w:before="80"/>
      </w:pPr>
      <w:r>
        <w:t xml:space="preserve"/>
      </w:r>
    </w:p>
    <w:p>
      <w:pPr>
        <w:pStyle w:val="Heading2"/>
        <w:spacing w:after="120" w:before="280"/>
      </w:pPr>
      <w:r>
        <w:rPr>
          <w:rFonts w:ascii="Arial" w:cs="Arial" w:eastAsia="Arial" w:hAnsi="Arial"/>
          <w:b/>
          <w:bCs/>
          <w:color w:val="A0632A"/>
          <w:sz w:val="26"/>
          <w:szCs w:val="26"/>
        </w:rPr>
        <w:t xml:space="preserve">10.2 Analyse des résultats</w:t>
      </w:r>
    </w:p>
    <w:p>
      <w:pPr>
        <w:spacing w:after="80" w:before="80"/>
      </w:pPr>
      <w:r>
        <w:rPr>
          <w:rFonts w:ascii="Arial" w:cs="Arial" w:eastAsia="Arial" w:hAnsi="Arial"/>
          <w:color w:val="333333"/>
          <w:sz w:val="22"/>
          <w:szCs w:val="22"/>
        </w:rPr>
        <w:t xml:space="preserve">Le taux de clic de 30,4 % (156 personnes) et le taux de soumission de 17,3 % (89 personnes) sont préoccupants mais cohérents avec les moyennes observées lors de premières campagnes dans des structures associatives peu sensibilisées.</w:t>
      </w:r>
    </w:p>
    <w:p>
      <w:pPr>
        <w:spacing w:after="80" w:before="80"/>
      </w:pPr>
      <w:r>
        <w:rPr>
          <w:rFonts w:ascii="Arial" w:cs="Arial" w:eastAsia="Arial" w:hAnsi="Arial"/>
          <w:color w:val="333333"/>
          <w:sz w:val="22"/>
          <w:szCs w:val="22"/>
        </w:rPr>
        <w:t xml:space="preserve">Le taux de signalement au support IT de seulement 2,3 % (12 personnes) est particulièrement révélateur : la grande majorité des membres n’a pas eu le réflexe de signaler un email suspect, qu’ils aient cliqué ou non.</w:t>
      </w:r>
    </w:p>
    <w:p>
      <w:pPr>
        <w:spacing w:after="80" w:before="80"/>
      </w:pPr>
      <w:r>
        <w:rPr>
          <w:rFonts w:ascii="Arial" w:cs="Arial" w:eastAsia="Arial" w:hAnsi="Arial"/>
          <w:i/>
          <w:iCs/>
          <w:color w:val="555555"/>
          <w:sz w:val="22"/>
          <w:szCs w:val="22"/>
        </w:rPr>
        <w:t xml:space="preserve">Le taux d’ouverture de 75,4 % doit être nuancé par la limite du tracking pixel Gmail — ce chiffre peut être légèrement surestimé.</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10.3 Recommandations</w:t>
      </w:r>
    </w:p>
    <w:tbl>
      <w:tblPr>
        <w:tblW w:type="dxa" w:w="8360"/>
        <w:tblBorders>
          <w:top w:val="single" w:color="CCCCCC" w:sz="1"/>
          <w:left w:val="single" w:color="CCCCCC" w:sz="1"/>
          <w:bottom w:val="single" w:color="CCCCCC" w:sz="1"/>
          <w:right w:val="single" w:color="CCCCCC" w:sz="1"/>
          <w:insideH w:val="single" w:color="auto" w:sz="4"/>
          <w:insideV w:val="single" w:color="auto" w:sz="4"/>
        </w:tblBorders>
      </w:tblPr>
      <w:tblGrid>
        <w:gridCol w:w="3200"/>
        <w:gridCol w:w="1500"/>
        <w:gridCol w:w="2500"/>
        <w:gridCol w:w="1160"/>
      </w:tblGrid>
      <w:tr>
        <w:trPr>
          <w:tblHeader/>
        </w:trPr>
        <w:tc>
          <w:tcPr>
            <w:tcW w:type="dxa" w:w="3200"/>
            <w:shd w:fill="1B4F6A"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1500"/>
            <w:shd w:fill="1B4F6A" w:val="clear"/>
            <w:tcMar>
              <w:top w:type="dxa" w:w="100"/>
              <w:left w:type="dxa" w:w="150"/>
              <w:bottom w:type="dxa" w:w="100"/>
              <w:right w:type="dxa" w:w="150"/>
            </w:tcMar>
          </w:tcPr>
          <w:p>
            <w:r>
              <w:rPr>
                <w:rFonts w:ascii="Arial" w:cs="Arial" w:eastAsia="Arial" w:hAnsi="Arial"/>
                <w:b/>
                <w:bCs/>
                <w:color w:val="FFFFFF"/>
                <w:sz w:val="20"/>
                <w:szCs w:val="20"/>
              </w:rPr>
              <w:t xml:space="preserve">Priorité</w:t>
            </w:r>
          </w:p>
        </w:tc>
        <w:tc>
          <w:tcPr>
            <w:tcW w:type="dxa" w:w="2500"/>
            <w:shd w:fill="1B4F6A" w:val="clear"/>
            <w:tcMar>
              <w:top w:type="dxa" w:w="100"/>
              <w:left w:type="dxa" w:w="150"/>
              <w:bottom w:type="dxa" w:w="100"/>
              <w:right w:type="dxa" w:w="150"/>
            </w:tcMar>
          </w:tcPr>
          <w:p>
            <w:r>
              <w:rPr>
                <w:rFonts w:ascii="Arial" w:cs="Arial" w:eastAsia="Arial" w:hAnsi="Arial"/>
                <w:b/>
                <w:bCs/>
                <w:color w:val="FFFFFF"/>
                <w:sz w:val="20"/>
                <w:szCs w:val="20"/>
              </w:rPr>
              <w:t xml:space="preserve">Cibles</w:t>
            </w:r>
          </w:p>
        </w:tc>
        <w:tc>
          <w:tcPr>
            <w:tcW w:type="dxa" w:w="1160"/>
            <w:shd w:fill="1B4F6A" w:val="clear"/>
            <w:tcMar>
              <w:top w:type="dxa" w:w="100"/>
              <w:left w:type="dxa" w:w="150"/>
              <w:bottom w:type="dxa" w:w="100"/>
              <w:right w:type="dxa" w:w="150"/>
            </w:tcMar>
          </w:tcPr>
          <w:p>
            <w:r>
              <w:rPr>
                <w:rFonts w:ascii="Arial" w:cs="Arial" w:eastAsia="Arial" w:hAnsi="Arial"/>
                <w:b/>
                <w:bCs/>
                <w:color w:val="FFFFFF"/>
                <w:sz w:val="20"/>
                <w:szCs w:val="20"/>
              </w:rPr>
              <w:t xml:space="preserve">Échéance</w:t>
            </w:r>
          </w:p>
        </w:tc>
      </w:tr>
      <w:tr>
        <w:tc>
          <w:tcPr>
            <w:tcW w:type="dxa" w:w="32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Formation hygiène IT individuelle</w:t>
            </w:r>
          </w:p>
        </w:tc>
        <w:tc>
          <w:tcPr>
            <w:tcW w:type="dxa" w:w="1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Critique</w:t>
            </w:r>
          </w:p>
        </w:tc>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89 soumissions + 156 clics</w:t>
            </w:r>
          </w:p>
        </w:tc>
        <w:tc>
          <w:tcPr>
            <w:tcW w:type="dxa" w:w="11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Immédiat</w:t>
            </w:r>
          </w:p>
        </w:tc>
      </w:tr>
      <w:tr>
        <w:tc>
          <w:tcPr>
            <w:tcW w:type="dxa" w:w="32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Activation 2FA Google Workspace</w:t>
            </w:r>
          </w:p>
        </w:tc>
        <w:tc>
          <w:tcPr>
            <w:tcW w:type="dxa" w:w="1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Critique</w:t>
            </w:r>
          </w:p>
        </w:tc>
        <w:tc>
          <w:tcPr>
            <w:tcW w:type="dxa" w:w="2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Tous les bénévoles</w:t>
            </w:r>
          </w:p>
        </w:tc>
        <w:tc>
          <w:tcPr>
            <w:tcW w:type="dxa" w:w="11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1 mois</w:t>
            </w:r>
          </w:p>
        </w:tc>
      </w:tr>
      <w:tr>
        <w:tc>
          <w:tcPr>
            <w:tcW w:type="dxa" w:w="32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Communication générale bonnes pratiques</w:t>
            </w:r>
          </w:p>
        </w:tc>
        <w:tc>
          <w:tcPr>
            <w:tcW w:type="dxa" w:w="1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Haute</w:t>
            </w:r>
          </w:p>
        </w:tc>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Association entière</w:t>
            </w:r>
          </w:p>
        </w:tc>
        <w:tc>
          <w:tcPr>
            <w:tcW w:type="dxa" w:w="11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1 mois</w:t>
            </w:r>
          </w:p>
        </w:tc>
      </w:tr>
      <w:tr>
        <w:tc>
          <w:tcPr>
            <w:tcW w:type="dxa" w:w="32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Mise à jour charte informatique</w:t>
            </w:r>
          </w:p>
        </w:tc>
        <w:tc>
          <w:tcPr>
            <w:tcW w:type="dxa" w:w="1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Haute</w:t>
            </w:r>
          </w:p>
        </w:tc>
        <w:tc>
          <w:tcPr>
            <w:tcW w:type="dxa" w:w="25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Direction + RH</w:t>
            </w:r>
          </w:p>
        </w:tc>
        <w:tc>
          <w:tcPr>
            <w:tcW w:type="dxa" w:w="11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3 mois</w:t>
            </w:r>
          </w:p>
        </w:tc>
      </w:tr>
      <w:tr>
        <w:tc>
          <w:tcPr>
            <w:tcW w:type="dxa" w:w="32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Deuxième campagne de retest</w:t>
            </w:r>
          </w:p>
        </w:tc>
        <w:tc>
          <w:tcPr>
            <w:tcW w:type="dxa" w:w="1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Moyenne</w:t>
            </w:r>
          </w:p>
        </w:tc>
        <w:tc>
          <w:tcPr>
            <w:tcW w:type="dxa" w:w="25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Tous les bénévoles</w:t>
            </w:r>
          </w:p>
        </w:tc>
        <w:tc>
          <w:tcPr>
            <w:tcW w:type="dxa" w:w="11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6 mois</w:t>
            </w:r>
          </w:p>
        </w:tc>
      </w:tr>
    </w:tbl>
    <w:p>
      <w:pPr>
        <w:spacing w:after="80" w:before="80"/>
      </w:pPr>
      <w:r>
        <w:rPr>
          <w:rFonts w:ascii="Arial" w:cs="Arial" w:eastAsia="Arial" w:hAnsi="Arial"/>
          <w:i/>
          <w:iCs/>
          <w:color w:val="555555"/>
          <w:sz w:val="22"/>
          <w:szCs w:val="22"/>
        </w:rPr>
        <w:t xml:space="preserve">Objectif pour la prochaine campagne : réduire le taux de clic en dessous de 10 % et le taux de soumission en dessous de 5 %, grâce aux actions de formation menées dans l’intervalle.</w:t>
      </w:r>
    </w:p>
    <w:p>
      <w:pPr>
        <w:spacing w:after="80" w:before="80"/>
      </w:pPr>
      <w:r>
        <w:t xml:space="preserve"/>
      </w:r>
    </w:p>
    <w:p>
      <w:r>
        <w:br w:type="page"/>
      </w:r>
    </w:p>
    <w:p>
      <w:pPr>
        <w:pStyle w:val="Heading1"/>
        <w:pBdr>
          <w:bottom w:val="single" w:color="1B4F6A" w:sz="4" w:space="4"/>
        </w:pBdr>
        <w:spacing w:after="160" w:before="480"/>
      </w:pPr>
      <w:r>
        <w:rPr>
          <w:rFonts w:ascii="Arial" w:cs="Arial" w:eastAsia="Arial" w:hAnsi="Arial"/>
          <w:b/>
          <w:bCs/>
          <w:color w:val="1B4F6A"/>
          <w:sz w:val="32"/>
          <w:szCs w:val="32"/>
        </w:rPr>
        <w:t xml:space="preserve">11. Bilan personnel et compétences mobilisées</w:t>
      </w:r>
    </w:p>
    <w:p>
      <w:pPr>
        <w:pStyle w:val="Heading2"/>
        <w:spacing w:after="120" w:before="280"/>
      </w:pPr>
      <w:r>
        <w:rPr>
          <w:rFonts w:ascii="Arial" w:cs="Arial" w:eastAsia="Arial" w:hAnsi="Arial"/>
          <w:b/>
          <w:bCs/>
          <w:color w:val="A0632A"/>
          <w:sz w:val="26"/>
          <w:szCs w:val="26"/>
        </w:rPr>
        <w:t xml:space="preserve">11.1 Compétences techniques mobilisées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4000"/>
        <w:gridCol w:w="5360"/>
      </w:tblGrid>
      <w:tr>
        <w:trPr>
          <w:tblHeader/>
        </w:trPr>
        <w:tc>
          <w:tcPr>
            <w:tcW w:type="dxa" w:w="4000"/>
            <w:shd w:fill="1B4F6A" w:val="clear"/>
            <w:tcMar>
              <w:top w:type="dxa" w:w="100"/>
              <w:left w:type="dxa" w:w="150"/>
              <w:bottom w:type="dxa" w:w="100"/>
              <w:right w:type="dxa" w:w="150"/>
            </w:tcMar>
          </w:tcPr>
          <w:p>
            <w:r>
              <w:rPr>
                <w:rFonts w:ascii="Arial" w:cs="Arial" w:eastAsia="Arial" w:hAnsi="Arial"/>
                <w:b/>
                <w:bCs/>
                <w:color w:val="FFFFFF"/>
                <w:sz w:val="20"/>
                <w:szCs w:val="20"/>
              </w:rPr>
              <w:t xml:space="preserve">Compétence</w:t>
            </w:r>
          </w:p>
        </w:tc>
        <w:tc>
          <w:tcPr>
            <w:tcW w:type="dxa" w:w="5360"/>
            <w:shd w:fill="1B4F6A" w:val="clear"/>
            <w:tcMar>
              <w:top w:type="dxa" w:w="100"/>
              <w:left w:type="dxa" w:w="150"/>
              <w:bottom w:type="dxa" w:w="100"/>
              <w:right w:type="dxa" w:w="150"/>
            </w:tcMar>
          </w:tcPr>
          <w:p>
            <w:r>
              <w:rPr>
                <w:rFonts w:ascii="Arial" w:cs="Arial" w:eastAsia="Arial" w:hAnsi="Arial"/>
                <w:b/>
                <w:bCs/>
                <w:color w:val="FFFFFF"/>
                <w:sz w:val="20"/>
                <w:szCs w:val="20"/>
              </w:rPr>
              <w:t xml:space="preserve">Technologie / Outil</w:t>
            </w:r>
          </w:p>
        </w:tc>
      </w:tr>
      <w:tr>
        <w:tc>
          <w:tcPr>
            <w:tcW w:type="dxa" w:w="4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Administration Linux</w:t>
            </w:r>
          </w:p>
        </w:tc>
        <w:tc>
          <w:tcPr>
            <w:tcW w:type="dxa" w:w="5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Debian 13, systemd, UFW, Bash</w:t>
            </w:r>
          </w:p>
        </w:tc>
      </w:tr>
      <w:tr>
        <w:tc>
          <w:tcPr>
            <w:tcW w:type="dxa" w:w="4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Administration réseau</w:t>
            </w:r>
          </w:p>
        </w:tc>
        <w:tc>
          <w:tcPr>
            <w:tcW w:type="dxa" w:w="5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DNS OVHcloud, SPF, enregistrements A/MX/TXT</w:t>
            </w:r>
          </w:p>
        </w:tc>
      </w:tr>
      <w:tr>
        <w:tc>
          <w:tcPr>
            <w:tcW w:type="dxa" w:w="4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Sécurité des communications</w:t>
            </w:r>
          </w:p>
        </w:tc>
        <w:tc>
          <w:tcPr>
            <w:tcW w:type="dxa" w:w="5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SSL/TLS, Let’s Encrypt, Certbot, HTTPS</w:t>
            </w:r>
          </w:p>
        </w:tc>
      </w:tr>
      <w:tr>
        <w:tc>
          <w:tcPr>
            <w:tcW w:type="dxa" w:w="4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Services mail</w:t>
            </w:r>
          </w:p>
        </w:tc>
        <w:tc>
          <w:tcPr>
            <w:tcW w:type="dxa" w:w="5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Postfix, SMTP, SASL</w:t>
            </w:r>
          </w:p>
        </w:tc>
      </w:tr>
      <w:tr>
        <w:tc>
          <w:tcPr>
            <w:tcW w:type="dxa" w:w="4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Serveur web</w:t>
            </w:r>
          </w:p>
        </w:tc>
        <w:tc>
          <w:tcPr>
            <w:tcW w:type="dxa" w:w="5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Nginx, reverse proxy</w:t>
            </w:r>
          </w:p>
        </w:tc>
      </w:tr>
      <w:tr>
        <w:tc>
          <w:tcPr>
            <w:tcW w:type="dxa" w:w="4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Cybersécurité offensive</w:t>
            </w:r>
          </w:p>
        </w:tc>
        <w:tc>
          <w:tcPr>
            <w:tcW w:type="dxa" w:w="5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GoPhish, social engineering, phishing simulation</w:t>
            </w:r>
          </w:p>
        </w:tc>
      </w:tr>
      <w:tr>
        <w:tc>
          <w:tcPr>
            <w:tcW w:type="dxa" w:w="4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Développement web</w:t>
            </w:r>
          </w:p>
        </w:tc>
        <w:tc>
          <w:tcPr>
            <w:tcW w:type="dxa" w:w="5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HTML, CSS (landing page, page awareness)</w:t>
            </w:r>
          </w:p>
        </w:tc>
      </w:tr>
      <w:tr>
        <w:tc>
          <w:tcPr>
            <w:tcW w:type="dxa" w:w="4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Virtualisation / Cloud</w:t>
            </w:r>
          </w:p>
        </w:tc>
        <w:tc>
          <w:tcPr>
            <w:tcW w:type="dxa" w:w="5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VPS OVHcloud, SSH, PuTTY</w:t>
            </w:r>
          </w:p>
        </w:tc>
      </w:tr>
    </w:tbl>
    <w:p>
      <w:pPr>
        <w:spacing w:after="80" w:before="80"/>
      </w:pPr>
      <w:r>
        <w:t xml:space="preserve"/>
      </w:r>
    </w:p>
    <w:p>
      <w:pPr>
        <w:pStyle w:val="Heading2"/>
        <w:spacing w:after="120" w:before="280"/>
      </w:pPr>
      <w:r>
        <w:rPr>
          <w:rFonts w:ascii="Arial" w:cs="Arial" w:eastAsia="Arial" w:hAnsi="Arial"/>
          <w:b/>
          <w:bCs/>
          <w:color w:val="A0632A"/>
          <w:sz w:val="26"/>
          <w:szCs w:val="26"/>
        </w:rPr>
        <w:t xml:space="preserve">11.2 Compétences transversales</w:t>
      </w:r>
    </w:p>
    <w:p>
      <w:pPr>
        <w:pStyle w:val="ListParagraph"/>
        <w:numPr>
          <w:ilvl w:val="0"/>
          <w:numId w:val="2"/>
        </w:numPr>
        <w:spacing w:after="60" w:before="60"/>
      </w:pPr>
      <w:r>
        <w:rPr>
          <w:rFonts w:ascii="Arial" w:cs="Arial" w:eastAsia="Arial" w:hAnsi="Arial"/>
          <w:color w:val="333333"/>
          <w:sz w:val="22"/>
          <w:szCs w:val="22"/>
        </w:rPr>
        <w:t xml:space="preserve">Gestion de projet : planification sur 3 mois, résolution autonome des problèmes techniques</w:t>
      </w:r>
    </w:p>
    <w:p>
      <w:pPr>
        <w:pStyle w:val="ListParagraph"/>
        <w:numPr>
          <w:ilvl w:val="0"/>
          <w:numId w:val="2"/>
        </w:numPr>
        <w:spacing w:after="60" w:before="60"/>
      </w:pPr>
      <w:r>
        <w:rPr>
          <w:rFonts w:ascii="Arial" w:cs="Arial" w:eastAsia="Arial" w:hAnsi="Arial"/>
          <w:color w:val="333333"/>
          <w:sz w:val="22"/>
          <w:szCs w:val="22"/>
        </w:rPr>
        <w:t xml:space="preserve">Communication client : rédaction de documentation, présentation des résultats à la direction</w:t>
      </w:r>
    </w:p>
    <w:p>
      <w:pPr>
        <w:pStyle w:val="ListParagraph"/>
        <w:numPr>
          <w:ilvl w:val="0"/>
          <w:numId w:val="2"/>
        </w:numPr>
        <w:spacing w:after="60" w:before="60"/>
      </w:pPr>
      <w:r>
        <w:rPr>
          <w:rFonts w:ascii="Arial" w:cs="Arial" w:eastAsia="Arial" w:hAnsi="Arial"/>
          <w:color w:val="333333"/>
          <w:sz w:val="22"/>
          <w:szCs w:val="22"/>
        </w:rPr>
        <w:t xml:space="preserve">Veille juridique : compréhension du cadre légal autour des tests de pénétration et du RGPD</w:t>
      </w:r>
    </w:p>
    <w:p>
      <w:pPr>
        <w:pStyle w:val="ListParagraph"/>
        <w:numPr>
          <w:ilvl w:val="0"/>
          <w:numId w:val="2"/>
        </w:numPr>
        <w:spacing w:after="60" w:before="60"/>
      </w:pPr>
      <w:r>
        <w:rPr>
          <w:rFonts w:ascii="Arial" w:cs="Arial" w:eastAsia="Arial" w:hAnsi="Arial"/>
          <w:color w:val="333333"/>
          <w:sz w:val="22"/>
          <w:szCs w:val="22"/>
        </w:rPr>
        <w:t xml:space="preserve">Résolution de problèmes : diagnostic des erreurs SMTP, TLS et DNS, adaptation des choix techniques</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11.3 Difficultés et apprentissages</w:t>
      </w:r>
    </w:p>
    <w:p>
      <w:pPr>
        <w:spacing w:after="80" w:before="80"/>
      </w:pPr>
      <w:r>
        <w:rPr>
          <w:rFonts w:ascii="Arial" w:cs="Arial" w:eastAsia="Arial" w:hAnsi="Arial"/>
          <w:color w:val="333333"/>
          <w:sz w:val="22"/>
          <w:szCs w:val="22"/>
        </w:rPr>
        <w:t xml:space="preserve">La principale difficulté technique rencontrée a été la compatibilité SMTP entre GoPhish et Postfix. GoPhish v0.12.1 impose le mécanisme d’authentification CRAM-MD5, incompatible avec le backend saslauthd/shadow de Postfix. Après plusieurs tentatives de configuration (sasldb, auxprop), la décision pragmatique a été prise de sécuriser par restriction IP plutôt que par authentification — une dette technique identifiée et documentée.</w:t>
      </w:r>
    </w:p>
    <w:p>
      <w:pPr>
        <w:spacing w:after="80" w:before="80"/>
      </w:pPr>
      <w:r>
        <w:rPr>
          <w:rFonts w:ascii="Arial" w:cs="Arial" w:eastAsia="Arial" w:hAnsi="Arial"/>
          <w:color w:val="333333"/>
          <w:sz w:val="22"/>
          <w:szCs w:val="22"/>
        </w:rPr>
        <w:t xml:space="preserve">Ce projet m’a permis de mettre en pratique de manière concrète des notions théoriques vues en formation (protocoles mail, DNS, SSL/TLS, sécurité des SI) et de découvrir les enjeux réels de la cybersécurité dans une organisation associative.</w:t>
      </w:r>
    </w:p>
    <w:p>
      <w:pPr>
        <w:spacing w:after="80" w:before="80"/>
      </w:pPr>
      <w:r>
        <w:t xml:space="preserve"/>
      </w:r>
    </w:p>
    <w:p>
      <w:r>
        <w:br w:type="page"/>
      </w:r>
    </w:p>
    <w:p>
      <w:pPr>
        <w:pStyle w:val="Heading1"/>
        <w:pBdr>
          <w:bottom w:val="single" w:color="1B4F6A" w:sz="4" w:space="4"/>
        </w:pBdr>
        <w:spacing w:after="160" w:before="480"/>
      </w:pPr>
      <w:r>
        <w:rPr>
          <w:rFonts w:ascii="Arial" w:cs="Arial" w:eastAsia="Arial" w:hAnsi="Arial"/>
          <w:b/>
          <w:bCs/>
          <w:color w:val="1B4F6A"/>
          <w:sz w:val="32"/>
          <w:szCs w:val="32"/>
        </w:rPr>
        <w:t xml:space="preserve">12. Annexes</w:t>
      </w:r>
    </w:p>
    <w:p>
      <w:pPr>
        <w:pStyle w:val="Heading2"/>
        <w:spacing w:after="120" w:before="280"/>
      </w:pPr>
      <w:r>
        <w:rPr>
          <w:rFonts w:ascii="Arial" w:cs="Arial" w:eastAsia="Arial" w:hAnsi="Arial"/>
          <w:b/>
          <w:bCs/>
          <w:color w:val="A0632A"/>
          <w:sz w:val="26"/>
          <w:szCs w:val="26"/>
        </w:rPr>
        <w:t xml:space="preserve">Annexe A – Glossaire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2000"/>
        <w:gridCol w:w="7360"/>
      </w:tblGrid>
      <w:tr>
        <w:trPr>
          <w:tblHeader/>
        </w:trPr>
        <w:tc>
          <w:tcPr>
            <w:tcW w:type="dxa" w:w="2000"/>
            <w:shd w:fill="1B4F6A" w:val="clear"/>
            <w:tcMar>
              <w:top w:type="dxa" w:w="100"/>
              <w:left w:type="dxa" w:w="150"/>
              <w:bottom w:type="dxa" w:w="100"/>
              <w:right w:type="dxa" w:w="150"/>
            </w:tcMar>
          </w:tcPr>
          <w:p>
            <w:r>
              <w:rPr>
                <w:rFonts w:ascii="Arial" w:cs="Arial" w:eastAsia="Arial" w:hAnsi="Arial"/>
                <w:b/>
                <w:bCs/>
                <w:color w:val="FFFFFF"/>
                <w:sz w:val="20"/>
                <w:szCs w:val="20"/>
              </w:rPr>
              <w:t xml:space="preserve">Terme</w:t>
            </w:r>
          </w:p>
        </w:tc>
        <w:tc>
          <w:tcPr>
            <w:tcW w:type="dxa" w:w="7360"/>
            <w:shd w:fill="1B4F6A" w:val="clear"/>
            <w:tcMar>
              <w:top w:type="dxa" w:w="100"/>
              <w:left w:type="dxa" w:w="150"/>
              <w:bottom w:type="dxa" w:w="100"/>
              <w:right w:type="dxa" w:w="150"/>
            </w:tcMar>
          </w:tcPr>
          <w:p>
            <w:r>
              <w:rPr>
                <w:rFonts w:ascii="Arial" w:cs="Arial" w:eastAsia="Arial" w:hAnsi="Arial"/>
                <w:b/>
                <w:bCs/>
                <w:color w:val="FFFFFF"/>
                <w:sz w:val="20"/>
                <w:szCs w:val="20"/>
              </w:rPr>
              <w:t xml:space="preserve">Définition</w:t>
            </w:r>
          </w:p>
        </w:tc>
      </w:tr>
      <w:tr>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Phishing</w:t>
            </w:r>
          </w:p>
        </w:tc>
        <w:tc>
          <w:tcPr>
            <w:tcW w:type="dxa" w:w="7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Technique d’attaque par email frauduleux visant à usurper l’identité d’un service légitime</w:t>
            </w:r>
          </w:p>
        </w:tc>
      </w:tr>
      <w:tr>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SPF</w:t>
            </w:r>
          </w:p>
        </w:tc>
        <w:tc>
          <w:tcPr>
            <w:tcW w:type="dxa" w:w="7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Sender Policy Framework – enregistrement DNS listant les IPs autorisées à envoyer des emails</w:t>
            </w:r>
          </w:p>
        </w:tc>
      </w:tr>
      <w:tr>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DKIM</w:t>
            </w:r>
          </w:p>
        </w:tc>
        <w:tc>
          <w:tcPr>
            <w:tcW w:type="dxa" w:w="7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DomainKeys Identified Mail – signature cryptographique garantissant l’intégrité des emails</w:t>
            </w:r>
          </w:p>
        </w:tc>
      </w:tr>
      <w:tr>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DMARC</w:t>
            </w:r>
          </w:p>
        </w:tc>
        <w:tc>
          <w:tcPr>
            <w:tcW w:type="dxa" w:w="7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Domain-based Message Authentication – politique de traitement des emails échouant SPF/DKIM</w:t>
            </w:r>
          </w:p>
        </w:tc>
      </w:tr>
      <w:tr>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MTA</w:t>
            </w:r>
          </w:p>
        </w:tc>
        <w:tc>
          <w:tcPr>
            <w:tcW w:type="dxa" w:w="7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Mail Transfer Agent – logiciel de routage des emails (ex : Postfix)</w:t>
            </w:r>
          </w:p>
        </w:tc>
      </w:tr>
      <w:tr>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UFW</w:t>
            </w:r>
          </w:p>
        </w:tc>
        <w:tc>
          <w:tcPr>
            <w:tcW w:type="dxa" w:w="7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Uncomplicated Firewall – pare-feu intégré à Linux</w:t>
            </w:r>
          </w:p>
        </w:tc>
      </w:tr>
      <w:tr>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TLS</w:t>
            </w:r>
          </w:p>
        </w:tc>
        <w:tc>
          <w:tcPr>
            <w:tcW w:type="dxa" w:w="7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Transport Layer Security – protocole de chiffrement des communications réseau</w:t>
            </w:r>
          </w:p>
        </w:tc>
      </w:tr>
      <w:tr>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VPS</w:t>
            </w:r>
          </w:p>
        </w:tc>
        <w:tc>
          <w:tcPr>
            <w:tcW w:type="dxa" w:w="7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Virtual Private Server – serveur virtuel dédié hébergé chez un fournisseur cloud</w:t>
            </w:r>
          </w:p>
        </w:tc>
      </w:tr>
      <w:tr>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Open relay</w:t>
            </w:r>
          </w:p>
        </w:tc>
        <w:tc>
          <w:tcPr>
            <w:tcW w:type="dxa" w:w="7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Serveur SMTP acceptant de relayer des emails sans authentification</w:t>
            </w:r>
          </w:p>
        </w:tc>
      </w:tr>
      <w:tr>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Social engineering</w:t>
            </w:r>
          </w:p>
        </w:tc>
        <w:tc>
          <w:tcPr>
            <w:tcW w:type="dxa" w:w="7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Manipulation psychologique visant à obtenir des informations confidentielles</w:t>
            </w:r>
          </w:p>
        </w:tc>
      </w:tr>
      <w:tr>
        <w:tc>
          <w:tcPr>
            <w:tcW w:type="dxa" w:w="200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2FA</w:t>
            </w:r>
          </w:p>
        </w:tc>
        <w:tc>
          <w:tcPr>
            <w:tcW w:type="dxa" w:w="7360"/>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Double authentification – second facteur de vérification en plus du mot de passe</w:t>
            </w:r>
          </w:p>
        </w:tc>
      </w:tr>
      <w:tr>
        <w:tc>
          <w:tcPr>
            <w:tcW w:type="dxa" w:w="200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RGPD</w:t>
            </w:r>
          </w:p>
        </w:tc>
        <w:tc>
          <w:tcPr>
            <w:tcW w:type="dxa" w:w="7360"/>
            <w:shd w:fill="F5F5F5" w:val="clear"/>
            <w:tcMar>
              <w:top w:type="dxa" w:w="80"/>
              <w:left w:type="dxa" w:w="150"/>
              <w:bottom w:type="dxa" w:w="80"/>
              <w:right w:type="dxa" w:w="150"/>
            </w:tcMar>
          </w:tcPr>
          <w:p>
            <w:r>
              <w:rPr>
                <w:rFonts w:ascii="Arial" w:cs="Arial" w:eastAsia="Arial" w:hAnsi="Arial"/>
                <w:b w:val="false"/>
                <w:bCs w:val="false"/>
                <w:color w:val="333333"/>
                <w:sz w:val="20"/>
                <w:szCs w:val="20"/>
              </w:rPr>
              <w:t xml:space="preserve">Règlement Général sur la Protection des Données – réglementation européenne</w:t>
            </w:r>
          </w:p>
        </w:tc>
      </w:tr>
    </w:tbl>
    <w:p>
      <w:pPr>
        <w:spacing w:after="80" w:before="80"/>
      </w:pPr>
      <w:r>
        <w:t xml:space="preserve"/>
      </w:r>
    </w:p>
    <w:p>
      <w:pPr>
        <w:pStyle w:val="Heading2"/>
        <w:spacing w:after="120" w:before="280"/>
      </w:pPr>
      <w:r>
        <w:rPr>
          <w:rFonts w:ascii="Arial" w:cs="Arial" w:eastAsia="Arial" w:hAnsi="Arial"/>
          <w:b/>
          <w:bCs/>
          <w:color w:val="A0632A"/>
          <w:sz w:val="26"/>
          <w:szCs w:val="26"/>
        </w:rPr>
        <w:t xml:space="preserve">Annexe B – Commandes clés utilisées</w:t>
      </w:r>
    </w:p>
    <w:p>
      <w:pPr>
        <w:spacing w:after="120" w:before="120"/>
        <w:ind w:left="360"/>
      </w:pPr>
      <w:r>
        <w:rPr>
          <w:rFonts w:ascii="Courier New" w:cs="Courier New" w:eastAsia="Courier New" w:hAnsi="Courier New"/>
          <w:color w:val="1a1a2e"/>
          <w:sz w:val="18"/>
          <w:szCs w:val="18"/>
        </w:rPr>
        <w:t xml:space="preserve"># Vérification des services
sudo systemctl status gophish
sudo systemctl status postfix
sudo journalctl -u gophish -f
# Vérification des ports
sudo ss -tlnp | grep -E ':80|:443|:25|:8080'
# Test SMTP
telnet 57.129.42.95 25
# Vérification DNS
dig signin.account-google.fr
dig TXT account-google.fr
# Génération certificat SSL
sudo certbot certonly --dns-ovh \
  --dns-ovh-credentials /etc/letsencrypt/ovh/ovh.ini \
  -d signin.account-google.fr</w:t>
      </w:r>
    </w:p>
    <w:p>
      <w:pPr>
        <w:spacing w:after="80" w:before="80"/>
      </w:pPr>
      <w:r>
        <w:t xml:space="preserve"/>
      </w:r>
    </w:p>
    <w:p>
      <w:pPr>
        <w:pStyle w:val="Heading2"/>
        <w:spacing w:after="120" w:before="280"/>
      </w:pPr>
      <w:r>
        <w:rPr>
          <w:rFonts w:ascii="Arial" w:cs="Arial" w:eastAsia="Arial" w:hAnsi="Arial"/>
          <w:b/>
          <w:bCs/>
          <w:color w:val="A0632A"/>
          <w:sz w:val="26"/>
          <w:szCs w:val="26"/>
        </w:rPr>
        <w:t xml:space="preserve">Annexe C – Références</w:t>
      </w:r>
    </w:p>
    <w:p>
      <w:pPr>
        <w:pStyle w:val="ListParagraph"/>
        <w:numPr>
          <w:ilvl w:val="0"/>
          <w:numId w:val="2"/>
        </w:numPr>
        <w:spacing w:after="60" w:before="60"/>
      </w:pPr>
      <w:r>
        <w:rPr>
          <w:rFonts w:ascii="Arial" w:cs="Arial" w:eastAsia="Arial" w:hAnsi="Arial"/>
          <w:color w:val="333333"/>
          <w:sz w:val="22"/>
          <w:szCs w:val="22"/>
        </w:rPr>
        <w:t xml:space="preserve">Documentation GoPhish : https://docs.getgophish.com</w:t>
      </w:r>
    </w:p>
    <w:p>
      <w:pPr>
        <w:pStyle w:val="ListParagraph"/>
        <w:numPr>
          <w:ilvl w:val="0"/>
          <w:numId w:val="2"/>
        </w:numPr>
        <w:spacing w:after="60" w:before="60"/>
      </w:pPr>
      <w:r>
        <w:rPr>
          <w:rFonts w:ascii="Arial" w:cs="Arial" w:eastAsia="Arial" w:hAnsi="Arial"/>
          <w:color w:val="333333"/>
          <w:sz w:val="22"/>
          <w:szCs w:val="22"/>
        </w:rPr>
        <w:t xml:space="preserve">Documentation Postfix : https://www.postfix.org/documentation.html</w:t>
      </w:r>
    </w:p>
    <w:p>
      <w:pPr>
        <w:pStyle w:val="ListParagraph"/>
        <w:numPr>
          <w:ilvl w:val="0"/>
          <w:numId w:val="2"/>
        </w:numPr>
        <w:spacing w:after="60" w:before="60"/>
      </w:pPr>
      <w:r>
        <w:rPr>
          <w:rFonts w:ascii="Arial" w:cs="Arial" w:eastAsia="Arial" w:hAnsi="Arial"/>
          <w:color w:val="333333"/>
          <w:sz w:val="22"/>
          <w:szCs w:val="22"/>
        </w:rPr>
        <w:t xml:space="preserve">Let’s Encrypt : https://letsencrypt.org</w:t>
      </w:r>
    </w:p>
    <w:p>
      <w:pPr>
        <w:pStyle w:val="ListParagraph"/>
        <w:numPr>
          <w:ilvl w:val="0"/>
          <w:numId w:val="2"/>
        </w:numPr>
        <w:spacing w:after="60" w:before="60"/>
      </w:pPr>
      <w:r>
        <w:rPr>
          <w:rFonts w:ascii="Arial" w:cs="Arial" w:eastAsia="Arial" w:hAnsi="Arial"/>
          <w:color w:val="333333"/>
          <w:sz w:val="22"/>
          <w:szCs w:val="22"/>
        </w:rPr>
        <w:t xml:space="preserve">Article 323-1 Code pénal français</w:t>
      </w:r>
    </w:p>
    <w:p>
      <w:pPr>
        <w:pStyle w:val="ListParagraph"/>
        <w:numPr>
          <w:ilvl w:val="0"/>
          <w:numId w:val="2"/>
        </w:numPr>
        <w:spacing w:after="60" w:before="60"/>
      </w:pPr>
      <w:r>
        <w:rPr>
          <w:rFonts w:ascii="Arial" w:cs="Arial" w:eastAsia="Arial" w:hAnsi="Arial"/>
          <w:color w:val="333333"/>
          <w:sz w:val="22"/>
          <w:szCs w:val="22"/>
        </w:rPr>
        <w:t xml:space="preserve">RGPD – Règlement UE 2016/679</w:t>
      </w:r>
    </w:p>
    <w:p>
      <w:pPr>
        <w:pStyle w:val="ListParagraph"/>
        <w:numPr>
          <w:ilvl w:val="0"/>
          <w:numId w:val="2"/>
        </w:numPr>
        <w:spacing w:after="60" w:before="60"/>
      </w:pPr>
      <w:r>
        <w:rPr>
          <w:rFonts w:ascii="Arial" w:cs="Arial" w:eastAsia="Arial" w:hAnsi="Arial"/>
          <w:color w:val="333333"/>
          <w:sz w:val="22"/>
          <w:szCs w:val="22"/>
        </w:rPr>
        <w:t xml:space="preserve">Guide ANSSI – Recommandations relatives à la messagerie électronique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t xml:space="preserve">	</w:t>
    </w:r>
    <w:r>
      <w:rPr>
        <w:rFonts w:ascii="Arial" w:cs="Arial" w:eastAsia="Arial" w:hAnsi="Arial"/>
        <w:color w:val="1B4F6A"/>
        <w:sz w:val="18"/>
        <w:szCs w:val="18"/>
      </w:rPr>
      <w:t xml:space="preserve">Jesto Informatique</w:t>
    </w:r>
    <w:r>
      <w:t xml:space="preserv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6A" w:sz="6" w:space="1"/>
      </w:pBdr>
    </w:pPr>
    <w:r>
      <w:drawing>
        <wp:inline distT="0" distB="0" distL="0" distR="0">
          <wp:extent cx="14287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286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28f11b543e8edf9fe0c5a11180513ba3d28e42c.jp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94d81e93d2c7cc73342e03bcd241d1e52f23b6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2026-05-06T01:21:32.741Z</dcterms:created>
  <dcterms:modified xsi:type="dcterms:W3CDTF">2026-05-06T01:21:32.753Z</dcterms:modified>
</cp:coreProperties>
</file>

<file path=docProps/custom.xml><?xml version="1.0" encoding="utf-8"?>
<Properties xmlns="http://schemas.openxmlformats.org/officeDocument/2006/custom-properties" xmlns:vt="http://schemas.openxmlformats.org/officeDocument/2006/docPropsVTypes"/>
</file>