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B4F"/>
          <w:sz w:val="36"/>
          <w:szCs w:val="36"/>
        </w:rPr>
        <w:t xml:space="preserve">SVELAND DJURFÖRSÄKRING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Strategiplan 2025-2030</w:t>
      </w:r>
    </w:p>
    <w:p>
      <w:pPr>
        <w:spacing w:after="300"/>
        <w:jc w:val="center"/>
      </w:pPr>
      <w:r>
        <w:rPr>
          <w:color w:val="999999"/>
          <w:sz w:val="18"/>
          <w:szCs w:val="18"/>
        </w:rPr>
        <w:t xml:space="preserve">Antagen av styrelsen 2024-12-15</w:t>
      </w:r>
    </w:p>
    <w:p>
      <w:pPr>
        <w:pStyle w:val="Heading1"/>
      </w:pPr>
      <w:r>
        <w:t xml:space="preserve">Vision</w:t>
      </w:r>
    </w:p>
    <w:p>
      <w:pPr>
        <w:spacing w:after="120"/>
      </w:pPr>
      <w:r>
        <w:t xml:space="preserve">Sverige tryggaste val för dig som har djur. Vi finns där när det händer, med korta beslutsvägar, hög kvalitet i rådgivningen och en upplevelse som känns mer som en pratstund än ett ärende.</w:t>
      </w:r>
    </w:p>
    <w:p>
      <w:pPr>
        <w:pStyle w:val="Heading1"/>
      </w:pPr>
      <w:r>
        <w:t xml:space="preserve">Värdegrund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Nära: Vi står på djurägarens sida, konsekvent.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Tydliga: Vi förklarar varför, inte bara vad.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Modiga: Vi vågar förändra det vi gjort i årtionden.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Hela: Vi tar ansvar från premie till skadereglering.</w:t>
      </w:r>
    </w:p>
    <w:p>
      <w:pPr>
        <w:pStyle w:val="Heading1"/>
      </w:pPr>
      <w:r>
        <w:t xml:space="preserve">Strategiska prioriteringar 2025-2030</w:t>
      </w:r>
    </w:p>
    <w:p>
      <w:pPr>
        <w:pStyle w:val="Heading2"/>
      </w:pPr>
      <w:r>
        <w:t xml:space="preserve">1. Digitalt först</w:t>
      </w:r>
    </w:p>
    <w:p>
      <w:pPr>
        <w:spacing w:after="80"/>
      </w:pPr>
      <w:r>
        <w:t xml:space="preserve">All kundinteraktion ska kunna påbörjas, slutföras och följas upp digitalt. Det innebär: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Självbetjäningslösningar för 80% av enklare ärenden senast 2027.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Automatiserad skadereglering på enklare ärenden — mål 50% genomströmning 2028.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AI-stöd i alla operativa processer där det är ansvarsfullt.</w:t>
      </w:r>
    </w:p>
    <w:p>
      <w:pPr>
        <w:pStyle w:val="Heading2"/>
      </w:pPr>
      <w:r>
        <w:t xml:space="preserve">2. Kundupplevelsen som differentierare</w:t>
      </w:r>
    </w:p>
    <w:p>
      <w:pPr>
        <w:spacing w:after="120"/>
      </w:pPr>
      <w:r>
        <w:t xml:space="preserve">Vi konkurrerar inte på pris allena. Det vi säljer är förtroende: att djurägaren vet exakt vad som händer och varför. Mål: NPS högst i branschen senast 2027.</w:t>
      </w:r>
    </w:p>
    <w:p>
      <w:pPr>
        <w:pStyle w:val="Heading2"/>
      </w:pPr>
      <w:r>
        <w:t xml:space="preserve">3. Lönsam tillväxt</w:t>
      </w:r>
    </w:p>
    <w:p>
      <w:pPr>
        <w:spacing w:after="120"/>
      </w:pPr>
      <w:r>
        <w:t xml:space="preserve">Tillväxt på minst 8% per år med bibehållen marginal över branschsnitt. Strategin: bredda tilllbehör och tjänster runt grundförsäkringen, snarare än att jaga marknadsandel via prispress.</w:t>
      </w:r>
    </w:p>
    <w:p>
      <w:pPr>
        <w:pStyle w:val="Heading2"/>
      </w:pPr>
      <w:r>
        <w:t xml:space="preserve">4. Hållbarhet i hela kedjan</w:t>
      </w:r>
    </w:p>
    <w:p>
      <w:pPr>
        <w:spacing w:after="120"/>
      </w:pPr>
      <w:r>
        <w:t xml:space="preserve">Hela vid investeringar, hela vid leverantörsval, hela vid intern verksamhet. Klimatneutral verksamhet 2030.</w:t>
      </w:r>
    </w:p>
    <w:p>
      <w:pPr>
        <w:pStyle w:val="Heading2"/>
      </w:pPr>
      <w:r>
        <w:t xml:space="preserve">5. AI-mognad och datadrivenhet</w:t>
      </w:r>
    </w:p>
    <w:p>
      <w:pPr>
        <w:spacing w:after="120"/>
      </w:pPr>
      <w:r>
        <w:t xml:space="preserve">Från manuella beslut till datadrivna rekommendationer. Från statiska processer till lärande system. Med mänsklig tillsyn alltid i centrum, särskilt vid kundpåverkande beslut.</w:t>
      </w:r>
    </w:p>
    <w:p>
      <w:pPr>
        <w:pStyle w:val="Heading1"/>
      </w:pPr>
      <w:r>
        <w:t xml:space="preserve">Mål och nyckeltal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Nyckeltal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Mål 2030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60+ (idag 41)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Andel automatiserade enkla ärenden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 (idag 25%)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Genomsnittlig handläggningstid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dagar (idag 4,2)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Premieintäkter, jämfört med 2024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Klimatpåverkan, intern verksamhet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Netto noll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Antal medarbetare med AI-kompetens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av tjänstemän</w:t>
            </w:r>
          </w:p>
        </w:tc>
      </w:tr>
    </w:tbl>
    <w:p>
      <w:pPr>
        <w:pStyle w:val="Heading1"/>
      </w:pPr>
      <w:r>
        <w:t xml:space="preserve">Så gör vi det</w:t>
      </w:r>
    </w:p>
    <w:p>
      <w:pPr>
        <w:spacing w:after="80"/>
      </w:pPr>
      <w:r>
        <w:t xml:space="preserve">Strategin bryts ned i årsplaner per avdelning. Varje chef ansvarar för att binda samman avdelningens prioriteringar med dessa fem teman. Uppföljning sker tertialvis i ledningsgruppen.</w:t>
      </w:r>
    </w:p>
    <w:p>
      <w:pPr>
        <w:spacing w:after="80"/>
      </w:pPr>
      <w:r>
        <w:rPr>
          <w:i/>
          <w:iCs/>
          <w:color w:val="666666"/>
        </w:rPr>
        <w:t xml:space="preserve">För frågor om strategins tolkning eller tillämpning: kontakta CEO eller respektive divisionschef.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Strategiplan 2025-2030, version 1.0 | Sida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STRATEGIPLAN 2025-2030 | INTERNT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B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B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2026-04-28T06:24:04.810Z</dcterms:created>
  <dcterms:modified xsi:type="dcterms:W3CDTF">2026-04-28T06:24:04.811Z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