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74386" w14:textId="2030145C" w:rsidR="00C473B6" w:rsidRPr="00D43EA2" w:rsidRDefault="00E202C9" w:rsidP="00337800">
      <w:pPr>
        <w:jc w:val="center"/>
        <w:rPr>
          <w:b/>
          <w:color w:val="0070C0"/>
          <w:sz w:val="36"/>
          <w:szCs w:val="36"/>
        </w:rPr>
      </w:pPr>
      <w:r w:rsidRPr="00D43EA2">
        <w:rPr>
          <w:b/>
          <w:color w:val="0070C0"/>
          <w:sz w:val="36"/>
          <w:szCs w:val="36"/>
        </w:rPr>
        <w:t>Kickstarter Report</w:t>
      </w:r>
    </w:p>
    <w:p w14:paraId="1CB217A5" w14:textId="77777777" w:rsidR="00C473B6" w:rsidRPr="00D43EA2" w:rsidRDefault="00C473B6" w:rsidP="003E150D">
      <w:pPr>
        <w:jc w:val="both"/>
        <w:rPr>
          <w:b/>
          <w:color w:val="0070C0"/>
          <w:u w:val="single"/>
        </w:rPr>
      </w:pPr>
    </w:p>
    <w:p w14:paraId="75D4AE16" w14:textId="77777777" w:rsidR="00337800" w:rsidRDefault="00337800" w:rsidP="003E150D">
      <w:pPr>
        <w:jc w:val="both"/>
        <w:rPr>
          <w:b/>
          <w:sz w:val="28"/>
          <w:szCs w:val="28"/>
        </w:rPr>
      </w:pPr>
    </w:p>
    <w:p w14:paraId="6C7B6075" w14:textId="1A2AC502" w:rsidR="004D75F8" w:rsidRPr="00D43EA2" w:rsidRDefault="009B2458" w:rsidP="003E150D">
      <w:pPr>
        <w:jc w:val="both"/>
        <w:rPr>
          <w:b/>
          <w:color w:val="0070C0"/>
          <w:sz w:val="28"/>
          <w:szCs w:val="28"/>
        </w:rPr>
      </w:pPr>
      <w:r w:rsidRPr="00D43EA2">
        <w:rPr>
          <w:b/>
          <w:color w:val="0070C0"/>
          <w:sz w:val="28"/>
          <w:szCs w:val="28"/>
        </w:rPr>
        <w:t>Introduction</w:t>
      </w:r>
    </w:p>
    <w:p w14:paraId="2ADAE356" w14:textId="1D016C92" w:rsidR="00FF451A" w:rsidRDefault="009C525A" w:rsidP="003E150D">
      <w:pPr>
        <w:jc w:val="both"/>
      </w:pPr>
      <w:r w:rsidRPr="00012EF6">
        <w:tab/>
        <w:t>Kickstart</w:t>
      </w:r>
      <w:r w:rsidR="00012EF6">
        <w:t>er is a</w:t>
      </w:r>
      <w:r w:rsidR="008B765C">
        <w:t>n online crowd</w:t>
      </w:r>
      <w:r w:rsidR="00071563">
        <w:t xml:space="preserve"> </w:t>
      </w:r>
      <w:r w:rsidR="00012EF6">
        <w:t xml:space="preserve">funding </w:t>
      </w:r>
      <w:r w:rsidR="00071563">
        <w:t>platform</w:t>
      </w:r>
      <w:r w:rsidR="009D40CC">
        <w:t xml:space="preserve"> where project creators </w:t>
      </w:r>
      <w:r w:rsidR="00012EF6">
        <w:t xml:space="preserve">can </w:t>
      </w:r>
      <w:r w:rsidR="009D40CC">
        <w:t>start campaigns</w:t>
      </w:r>
      <w:r w:rsidR="00012EF6">
        <w:t xml:space="preserve"> </w:t>
      </w:r>
      <w:r w:rsidR="009D40CC">
        <w:t>to fund</w:t>
      </w:r>
      <w:r w:rsidR="00012EF6">
        <w:t xml:space="preserve"> their projects. However, only </w:t>
      </w:r>
      <w:r w:rsidR="0097267D">
        <w:t>a third</w:t>
      </w:r>
      <w:r w:rsidR="00012EF6">
        <w:t xml:space="preserve"> of all projects </w:t>
      </w:r>
      <w:r w:rsidR="0097267D">
        <w:t xml:space="preserve">launched </w:t>
      </w:r>
      <w:r w:rsidR="00012EF6">
        <w:t xml:space="preserve">are funded successfully.  </w:t>
      </w:r>
      <w:r w:rsidR="001E1C64">
        <w:t xml:space="preserve">The aim of this report is to identify any </w:t>
      </w:r>
      <w:r w:rsidR="00FF451A">
        <w:t xml:space="preserve">hidden </w:t>
      </w:r>
      <w:r w:rsidR="001E1C64">
        <w:t>trends</w:t>
      </w:r>
      <w:r w:rsidR="00CF3969">
        <w:t xml:space="preserve"> that can predict </w:t>
      </w:r>
      <w:r w:rsidR="00FF451A">
        <w:t xml:space="preserve">a project’s success </w:t>
      </w:r>
      <w:r w:rsidR="009634CE">
        <w:t>from</w:t>
      </w:r>
      <w:r w:rsidR="00012EF6">
        <w:t xml:space="preserve"> the dataset of </w:t>
      </w:r>
      <w:r w:rsidR="009634CE">
        <w:t xml:space="preserve">approximately </w:t>
      </w:r>
      <w:r w:rsidR="007C0F12">
        <w:t>4000</w:t>
      </w:r>
      <w:r w:rsidR="00012EF6">
        <w:t xml:space="preserve"> past </w:t>
      </w:r>
      <w:r w:rsidR="00FF451A">
        <w:t xml:space="preserve">Kickstarter </w:t>
      </w:r>
      <w:r w:rsidR="00012EF6">
        <w:t xml:space="preserve">projects over the period of the last </w:t>
      </w:r>
      <w:r w:rsidR="006D5439">
        <w:t>9</w:t>
      </w:r>
      <w:r w:rsidR="00FF451A">
        <w:t xml:space="preserve"> years.</w:t>
      </w:r>
      <w:r w:rsidR="00012EF6">
        <w:t xml:space="preserve"> </w:t>
      </w:r>
    </w:p>
    <w:p w14:paraId="5D5BCFCE" w14:textId="77777777" w:rsidR="00FF451A" w:rsidRDefault="00FF451A" w:rsidP="003E150D">
      <w:pPr>
        <w:jc w:val="both"/>
      </w:pPr>
    </w:p>
    <w:p w14:paraId="60BD7308" w14:textId="3B09E4DD" w:rsidR="00BA7026" w:rsidRDefault="00BA7026" w:rsidP="003E150D">
      <w:pPr>
        <w:jc w:val="both"/>
      </w:pPr>
    </w:p>
    <w:p w14:paraId="2949C32A" w14:textId="15B65D07" w:rsidR="00BA7026" w:rsidRPr="00D43EA2" w:rsidRDefault="00792A09" w:rsidP="003E150D">
      <w:pPr>
        <w:jc w:val="both"/>
        <w:rPr>
          <w:b/>
          <w:color w:val="0070C0"/>
          <w:sz w:val="28"/>
          <w:szCs w:val="28"/>
        </w:rPr>
      </w:pPr>
      <w:r w:rsidRPr="00D43EA2">
        <w:rPr>
          <w:b/>
          <w:color w:val="0070C0"/>
          <w:sz w:val="28"/>
          <w:szCs w:val="28"/>
        </w:rPr>
        <w:t>Observations</w:t>
      </w:r>
      <w:r w:rsidRPr="00D43EA2">
        <w:rPr>
          <w:b/>
          <w:color w:val="0070C0"/>
          <w:sz w:val="28"/>
          <w:szCs w:val="28"/>
        </w:rPr>
        <w:t xml:space="preserve"> </w:t>
      </w:r>
      <w:r w:rsidR="0097267D" w:rsidRPr="00D43EA2">
        <w:rPr>
          <w:b/>
          <w:color w:val="0070C0"/>
          <w:sz w:val="28"/>
          <w:szCs w:val="28"/>
        </w:rPr>
        <w:t>from the data</w:t>
      </w:r>
    </w:p>
    <w:p w14:paraId="77427D0D" w14:textId="6F0E6824" w:rsidR="0097267D" w:rsidRPr="00D43EA2" w:rsidRDefault="0097267D" w:rsidP="003E150D">
      <w:pPr>
        <w:jc w:val="both"/>
        <w:rPr>
          <w:sz w:val="28"/>
          <w:szCs w:val="28"/>
        </w:rPr>
      </w:pPr>
    </w:p>
    <w:p w14:paraId="16BE14DB" w14:textId="28B77092" w:rsidR="00FE4B56" w:rsidRPr="00D43EA2" w:rsidRDefault="00FE4B56" w:rsidP="001D003D">
      <w:pPr>
        <w:pStyle w:val="ListParagraph"/>
        <w:numPr>
          <w:ilvl w:val="0"/>
          <w:numId w:val="3"/>
        </w:numPr>
        <w:ind w:left="360" w:hanging="270"/>
        <w:jc w:val="both"/>
        <w:rPr>
          <w:b/>
          <w:sz w:val="25"/>
          <w:szCs w:val="25"/>
        </w:rPr>
      </w:pPr>
      <w:r w:rsidRPr="00D43EA2">
        <w:rPr>
          <w:b/>
          <w:sz w:val="25"/>
          <w:szCs w:val="25"/>
        </w:rPr>
        <w:t>Project Categories and Sub-Categories</w:t>
      </w:r>
    </w:p>
    <w:p w14:paraId="63AC7A90" w14:textId="6AE6CEE9" w:rsidR="00CF3969" w:rsidRDefault="00CF3969" w:rsidP="003E150D">
      <w:pPr>
        <w:ind w:left="360" w:firstLine="720"/>
        <w:jc w:val="both"/>
      </w:pPr>
    </w:p>
    <w:p w14:paraId="339CB05D" w14:textId="5A895032" w:rsidR="00CF3969" w:rsidRDefault="00CF3969" w:rsidP="00516AD2">
      <w:pPr>
        <w:ind w:left="360" w:firstLine="360"/>
        <w:jc w:val="both"/>
      </w:pPr>
      <w:r>
        <w:t xml:space="preserve">The top </w:t>
      </w:r>
      <w:r w:rsidR="00091D89">
        <w:t>5</w:t>
      </w:r>
      <w:r>
        <w:t xml:space="preserve"> categories and subcategories of </w:t>
      </w:r>
      <w:r w:rsidR="00337800">
        <w:t xml:space="preserve">successful </w:t>
      </w:r>
      <w:r w:rsidR="00516AD2">
        <w:t>projects are shown below.</w:t>
      </w:r>
    </w:p>
    <w:p w14:paraId="737E7C9A" w14:textId="567F0792" w:rsidR="00CF3969" w:rsidRDefault="00CF3969" w:rsidP="003E150D">
      <w:pPr>
        <w:ind w:left="360" w:firstLine="720"/>
        <w:jc w:val="both"/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880"/>
        <w:gridCol w:w="2970"/>
      </w:tblGrid>
      <w:tr w:rsidR="00CF3969" w14:paraId="79EA1C33" w14:textId="77777777" w:rsidTr="007B6180">
        <w:tc>
          <w:tcPr>
            <w:tcW w:w="2880" w:type="dxa"/>
            <w:shd w:val="clear" w:color="auto" w:fill="B4C6E7" w:themeFill="accent1" w:themeFillTint="66"/>
          </w:tcPr>
          <w:p w14:paraId="110536E6" w14:textId="0753BAAA" w:rsidR="00CF3969" w:rsidRPr="00162C37" w:rsidRDefault="00CF3969" w:rsidP="00CF3969">
            <w:pPr>
              <w:jc w:val="center"/>
              <w:rPr>
                <w:b/>
                <w:sz w:val="20"/>
                <w:szCs w:val="20"/>
              </w:rPr>
            </w:pPr>
            <w:r w:rsidRPr="00162C37"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1017BE3E" w14:textId="0C3E36ED" w:rsidR="00CF3969" w:rsidRPr="00162C37" w:rsidRDefault="00CF3969" w:rsidP="00CF3969">
            <w:pPr>
              <w:jc w:val="center"/>
              <w:rPr>
                <w:b/>
                <w:sz w:val="20"/>
                <w:szCs w:val="20"/>
              </w:rPr>
            </w:pPr>
            <w:r w:rsidRPr="00162C37">
              <w:rPr>
                <w:b/>
                <w:sz w:val="20"/>
                <w:szCs w:val="20"/>
              </w:rPr>
              <w:t>Sub-Category</w:t>
            </w:r>
          </w:p>
        </w:tc>
      </w:tr>
      <w:tr w:rsidR="00CF3969" w14:paraId="002B60F8" w14:textId="77777777" w:rsidTr="007B6180">
        <w:tc>
          <w:tcPr>
            <w:tcW w:w="2880" w:type="dxa"/>
          </w:tcPr>
          <w:p w14:paraId="2548BBE7" w14:textId="2FF6A53F" w:rsidR="00CF3969" w:rsidRPr="00162C37" w:rsidRDefault="00CF3969" w:rsidP="00CF3969">
            <w:pPr>
              <w:jc w:val="center"/>
              <w:rPr>
                <w:sz w:val="20"/>
                <w:szCs w:val="20"/>
              </w:rPr>
            </w:pPr>
            <w:r w:rsidRPr="00162C37">
              <w:rPr>
                <w:sz w:val="20"/>
                <w:szCs w:val="20"/>
              </w:rPr>
              <w:t>Theatre (38%)</w:t>
            </w:r>
          </w:p>
        </w:tc>
        <w:tc>
          <w:tcPr>
            <w:tcW w:w="2970" w:type="dxa"/>
          </w:tcPr>
          <w:p w14:paraId="725D4BA1" w14:textId="61AED37A" w:rsidR="00CF3969" w:rsidRPr="00162C37" w:rsidRDefault="00CF3969" w:rsidP="00CF3969">
            <w:pPr>
              <w:jc w:val="center"/>
              <w:rPr>
                <w:sz w:val="20"/>
                <w:szCs w:val="20"/>
              </w:rPr>
            </w:pPr>
            <w:r w:rsidRPr="00162C37">
              <w:rPr>
                <w:sz w:val="20"/>
                <w:szCs w:val="20"/>
              </w:rPr>
              <w:t>Plays (32%)</w:t>
            </w:r>
          </w:p>
        </w:tc>
      </w:tr>
      <w:tr w:rsidR="00CF3969" w14:paraId="1CBCC3E5" w14:textId="77777777" w:rsidTr="007B6180">
        <w:tc>
          <w:tcPr>
            <w:tcW w:w="2880" w:type="dxa"/>
          </w:tcPr>
          <w:p w14:paraId="1B33B8C7" w14:textId="09627833" w:rsidR="00CF3969" w:rsidRPr="00162C37" w:rsidRDefault="00CF3969" w:rsidP="00CF3969">
            <w:pPr>
              <w:jc w:val="center"/>
              <w:rPr>
                <w:sz w:val="20"/>
                <w:szCs w:val="20"/>
              </w:rPr>
            </w:pPr>
            <w:r w:rsidRPr="00162C37">
              <w:rPr>
                <w:sz w:val="20"/>
                <w:szCs w:val="20"/>
              </w:rPr>
              <w:t>Music (25%)</w:t>
            </w:r>
          </w:p>
        </w:tc>
        <w:tc>
          <w:tcPr>
            <w:tcW w:w="2970" w:type="dxa"/>
          </w:tcPr>
          <w:p w14:paraId="2A4463FE" w14:textId="7D90039A" w:rsidR="00CF3969" w:rsidRPr="00162C37" w:rsidRDefault="00CF3969" w:rsidP="00CF3969">
            <w:pPr>
              <w:jc w:val="center"/>
              <w:rPr>
                <w:sz w:val="20"/>
                <w:szCs w:val="20"/>
              </w:rPr>
            </w:pPr>
            <w:r w:rsidRPr="00162C37">
              <w:rPr>
                <w:sz w:val="20"/>
                <w:szCs w:val="20"/>
              </w:rPr>
              <w:t>Rock (12%)</w:t>
            </w:r>
          </w:p>
        </w:tc>
      </w:tr>
      <w:tr w:rsidR="00162C37" w14:paraId="46AD9194" w14:textId="77777777" w:rsidTr="007B6180">
        <w:tc>
          <w:tcPr>
            <w:tcW w:w="2880" w:type="dxa"/>
          </w:tcPr>
          <w:p w14:paraId="5F314473" w14:textId="200644D8" w:rsidR="00162C37" w:rsidRPr="00162C37" w:rsidRDefault="00162C37" w:rsidP="00CF3969">
            <w:pPr>
              <w:jc w:val="center"/>
              <w:rPr>
                <w:sz w:val="20"/>
                <w:szCs w:val="20"/>
              </w:rPr>
            </w:pPr>
            <w:r w:rsidRPr="00162C37">
              <w:rPr>
                <w:sz w:val="20"/>
                <w:szCs w:val="20"/>
              </w:rPr>
              <w:t>Film &amp; Video (14%)</w:t>
            </w:r>
          </w:p>
        </w:tc>
        <w:tc>
          <w:tcPr>
            <w:tcW w:w="2970" w:type="dxa"/>
          </w:tcPr>
          <w:p w14:paraId="001BD456" w14:textId="7AB09639" w:rsidR="00162C37" w:rsidRPr="00162C37" w:rsidRDefault="001F6E09" w:rsidP="00CF3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Documentary (8%)</w:t>
            </w:r>
          </w:p>
        </w:tc>
      </w:tr>
      <w:tr w:rsidR="00162C37" w14:paraId="23495583" w14:textId="77777777" w:rsidTr="007B6180">
        <w:tc>
          <w:tcPr>
            <w:tcW w:w="2880" w:type="dxa"/>
          </w:tcPr>
          <w:p w14:paraId="6DE2AFA0" w14:textId="39A216FB" w:rsidR="00162C37" w:rsidRPr="00162C37" w:rsidRDefault="00162C37" w:rsidP="00CF3969">
            <w:pPr>
              <w:jc w:val="center"/>
              <w:rPr>
                <w:sz w:val="20"/>
                <w:szCs w:val="20"/>
              </w:rPr>
            </w:pPr>
            <w:r w:rsidRPr="00162C37">
              <w:rPr>
                <w:sz w:val="20"/>
                <w:szCs w:val="20"/>
              </w:rPr>
              <w:t>Technology (10%)</w:t>
            </w:r>
          </w:p>
        </w:tc>
        <w:tc>
          <w:tcPr>
            <w:tcW w:w="2970" w:type="dxa"/>
          </w:tcPr>
          <w:p w14:paraId="2C786F0F" w14:textId="0431786B" w:rsidR="00162C37" w:rsidRPr="00162C37" w:rsidRDefault="001F6E09" w:rsidP="00CF3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Photobooks (5%)</w:t>
            </w:r>
          </w:p>
        </w:tc>
      </w:tr>
      <w:tr w:rsidR="00162C37" w14:paraId="5EB819F4" w14:textId="77777777" w:rsidTr="007B6180">
        <w:tc>
          <w:tcPr>
            <w:tcW w:w="2880" w:type="dxa"/>
          </w:tcPr>
          <w:p w14:paraId="3194EB68" w14:textId="3C70321B" w:rsidR="00162C37" w:rsidRPr="00162C37" w:rsidRDefault="00162C37" w:rsidP="00CF3969">
            <w:pPr>
              <w:jc w:val="center"/>
              <w:rPr>
                <w:sz w:val="20"/>
                <w:szCs w:val="20"/>
              </w:rPr>
            </w:pPr>
            <w:r w:rsidRPr="00162C37">
              <w:rPr>
                <w:sz w:val="20"/>
                <w:szCs w:val="20"/>
              </w:rPr>
              <w:t>Photography (5%)</w:t>
            </w:r>
          </w:p>
        </w:tc>
        <w:tc>
          <w:tcPr>
            <w:tcW w:w="2970" w:type="dxa"/>
          </w:tcPr>
          <w:p w14:paraId="3917BCF0" w14:textId="2BD46D46" w:rsidR="00162C37" w:rsidRPr="00162C37" w:rsidRDefault="001F6E09" w:rsidP="00CF39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 (6%)</w:t>
            </w:r>
          </w:p>
        </w:tc>
      </w:tr>
    </w:tbl>
    <w:p w14:paraId="62B54A6E" w14:textId="77777777" w:rsidR="00337800" w:rsidRDefault="00337800" w:rsidP="003E150D">
      <w:pPr>
        <w:ind w:left="360" w:firstLine="720"/>
        <w:jc w:val="both"/>
      </w:pPr>
    </w:p>
    <w:p w14:paraId="62524DF8" w14:textId="2D685E9E" w:rsidR="00CF3969" w:rsidRDefault="00337800" w:rsidP="00516AD2">
      <w:pPr>
        <w:ind w:left="720"/>
        <w:jc w:val="both"/>
      </w:pPr>
      <w:r>
        <w:t xml:space="preserve">It is also evident that some categories have a dependence on the timing of the project launch. For </w:t>
      </w:r>
      <w:r w:rsidR="003111ED">
        <w:t>example, theatre</w:t>
      </w:r>
      <w:r>
        <w:t xml:space="preserve"> projects are more successful during</w:t>
      </w:r>
      <w:r>
        <w:t xml:space="preserve"> </w:t>
      </w:r>
      <w:r>
        <w:t xml:space="preserve">spring and summer whereas </w:t>
      </w:r>
      <w:r w:rsidR="003310B8">
        <w:t>the success rate of</w:t>
      </w:r>
      <w:r>
        <w:t xml:space="preserve"> music projects</w:t>
      </w:r>
      <w:r w:rsidR="003310B8">
        <w:t xml:space="preserve"> remain </w:t>
      </w:r>
      <w:proofErr w:type="gramStart"/>
      <w:r w:rsidR="003310B8">
        <w:t>relatively uniform</w:t>
      </w:r>
      <w:proofErr w:type="gramEnd"/>
      <w:r>
        <w:t xml:space="preserve"> (Figure </w:t>
      </w:r>
      <w:r w:rsidR="004309A1">
        <w:t>1</w:t>
      </w:r>
      <w:r>
        <w:t>).</w:t>
      </w:r>
    </w:p>
    <w:p w14:paraId="01F75900" w14:textId="4EAA0768" w:rsidR="002D6435" w:rsidRDefault="002D6435" w:rsidP="004309A1"/>
    <w:p w14:paraId="0B491A61" w14:textId="77777777" w:rsidR="00AE224F" w:rsidRDefault="00421C42" w:rsidP="0042623A">
      <w:pPr>
        <w:keepNext/>
        <w:ind w:firstLine="810"/>
        <w:jc w:val="center"/>
      </w:pPr>
      <w:r>
        <w:rPr>
          <w:noProof/>
        </w:rPr>
        <w:drawing>
          <wp:inline distT="0" distB="0" distL="0" distR="0" wp14:anchorId="6EBAEA0B" wp14:editId="58A042B3">
            <wp:extent cx="5429250" cy="2690495"/>
            <wp:effectExtent l="0" t="0" r="635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583EE5D-8629-B348-8158-68FD5E1BCC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BD931D" w14:textId="71C7655A" w:rsidR="00421C42" w:rsidRPr="00AE224F" w:rsidRDefault="00AE224F" w:rsidP="00080A9F">
      <w:pPr>
        <w:pStyle w:val="Caption"/>
        <w:jc w:val="center"/>
        <w:rPr>
          <w:i w:val="0"/>
        </w:rPr>
      </w:pPr>
      <w:r w:rsidRPr="00AE224F">
        <w:rPr>
          <w:i w:val="0"/>
        </w:rPr>
        <w:t xml:space="preserve">Figure </w:t>
      </w:r>
      <w:r w:rsidR="004309A1">
        <w:rPr>
          <w:i w:val="0"/>
        </w:rPr>
        <w:t>1</w:t>
      </w:r>
    </w:p>
    <w:p w14:paraId="5FD92643" w14:textId="77777777" w:rsidR="002D6435" w:rsidRDefault="002D6435" w:rsidP="003E150D">
      <w:pPr>
        <w:jc w:val="both"/>
      </w:pPr>
    </w:p>
    <w:p w14:paraId="103F5808" w14:textId="79696794" w:rsidR="00BE698B" w:rsidRPr="00D60230" w:rsidRDefault="00BE698B" w:rsidP="001D003D">
      <w:pPr>
        <w:pStyle w:val="ListParagraph"/>
        <w:numPr>
          <w:ilvl w:val="0"/>
          <w:numId w:val="3"/>
        </w:numPr>
        <w:ind w:left="360" w:hanging="270"/>
        <w:jc w:val="both"/>
        <w:rPr>
          <w:b/>
        </w:rPr>
      </w:pPr>
      <w:r w:rsidRPr="00D60230">
        <w:rPr>
          <w:b/>
        </w:rPr>
        <w:t>Goal amount ($)</w:t>
      </w:r>
    </w:p>
    <w:p w14:paraId="4A1CC43A" w14:textId="101B8ABF" w:rsidR="00896077" w:rsidRDefault="00F81AEF" w:rsidP="00D07CAA">
      <w:pPr>
        <w:ind w:left="540"/>
        <w:jc w:val="both"/>
      </w:pPr>
      <w:r>
        <w:t>Projects with a low goal amount (less than $100) has a 71% success rate.</w:t>
      </w:r>
      <w:r w:rsidR="00D5648E">
        <w:t xml:space="preserve"> </w:t>
      </w:r>
      <w:r w:rsidR="009F2187">
        <w:t>Even t</w:t>
      </w:r>
      <w:r w:rsidR="00F072A5">
        <w:t>hough</w:t>
      </w:r>
      <w:r w:rsidR="00D5648E">
        <w:t>, there is</w:t>
      </w:r>
      <w:r w:rsidR="009F2187">
        <w:t xml:space="preserve"> a pattern that low cost projects have a higher rate of success,</w:t>
      </w:r>
      <w:r w:rsidR="00D5648E">
        <w:t xml:space="preserve"> no co-relation </w:t>
      </w:r>
      <w:r w:rsidR="009F2187">
        <w:t xml:space="preserve">could be established </w:t>
      </w:r>
      <w:r w:rsidR="00D5648E">
        <w:t>between the goal amount to the success of a project.</w:t>
      </w:r>
    </w:p>
    <w:p w14:paraId="37CC6EE9" w14:textId="77777777" w:rsidR="00962A8C" w:rsidRDefault="00962A8C" w:rsidP="00D07CAA">
      <w:pPr>
        <w:ind w:left="540"/>
        <w:jc w:val="both"/>
      </w:pPr>
    </w:p>
    <w:p w14:paraId="4BB687A6" w14:textId="77777777" w:rsidR="003A1A8A" w:rsidRDefault="00962A8C" w:rsidP="00D07CAA">
      <w:pPr>
        <w:keepNext/>
        <w:ind w:left="540"/>
        <w:jc w:val="center"/>
      </w:pPr>
      <w:r>
        <w:rPr>
          <w:noProof/>
        </w:rPr>
        <w:drawing>
          <wp:inline distT="0" distB="0" distL="0" distR="0" wp14:anchorId="26E7879D" wp14:editId="50B8FD73">
            <wp:extent cx="5510893" cy="2150745"/>
            <wp:effectExtent l="0" t="0" r="1397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78E8B78-5A21-4B45-B365-3F910F5C78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74C9E6" w14:textId="0C408708" w:rsidR="00D821C3" w:rsidRPr="003A1A8A" w:rsidRDefault="003A1A8A" w:rsidP="003A1A8A">
      <w:pPr>
        <w:pStyle w:val="Caption"/>
        <w:jc w:val="center"/>
        <w:rPr>
          <w:i w:val="0"/>
        </w:rPr>
      </w:pPr>
      <w:r w:rsidRPr="003A1A8A">
        <w:rPr>
          <w:i w:val="0"/>
        </w:rPr>
        <w:t xml:space="preserve">Figure </w:t>
      </w:r>
      <w:r w:rsidR="005A13EB">
        <w:rPr>
          <w:i w:val="0"/>
        </w:rPr>
        <w:t>2</w:t>
      </w:r>
    </w:p>
    <w:p w14:paraId="626C4BA8" w14:textId="6F9F4B30" w:rsidR="00962A8C" w:rsidRDefault="00962A8C" w:rsidP="003E150D">
      <w:pPr>
        <w:ind w:left="360"/>
        <w:jc w:val="both"/>
      </w:pPr>
    </w:p>
    <w:p w14:paraId="4D146480" w14:textId="77777777" w:rsidR="00962A8C" w:rsidRDefault="00962A8C" w:rsidP="003E150D">
      <w:pPr>
        <w:ind w:left="360"/>
        <w:jc w:val="both"/>
      </w:pPr>
    </w:p>
    <w:p w14:paraId="2B6ECB1F" w14:textId="50FB5DC9" w:rsidR="00BE698B" w:rsidRPr="00D60230" w:rsidRDefault="00BE698B" w:rsidP="001D003D">
      <w:pPr>
        <w:pStyle w:val="ListParagraph"/>
        <w:numPr>
          <w:ilvl w:val="0"/>
          <w:numId w:val="3"/>
        </w:numPr>
        <w:ind w:left="360" w:hanging="270"/>
        <w:jc w:val="both"/>
        <w:rPr>
          <w:b/>
        </w:rPr>
      </w:pPr>
      <w:r w:rsidRPr="00D60230">
        <w:rPr>
          <w:b/>
        </w:rPr>
        <w:t>Backer Count</w:t>
      </w:r>
    </w:p>
    <w:p w14:paraId="33AF989B" w14:textId="556F1453" w:rsidR="001C7E81" w:rsidRDefault="00CC49D9" w:rsidP="00D07CAA">
      <w:pPr>
        <w:ind w:left="540"/>
        <w:jc w:val="both"/>
        <w:rPr>
          <w:color w:val="000000" w:themeColor="text1"/>
        </w:rPr>
      </w:pPr>
      <w:bookmarkStart w:id="0" w:name="_GoBack"/>
      <w:r w:rsidRPr="003E2008">
        <w:rPr>
          <w:color w:val="000000" w:themeColor="text1"/>
        </w:rPr>
        <w:t>80%</w:t>
      </w:r>
      <w:r w:rsidR="007E3398" w:rsidRPr="003E2008">
        <w:rPr>
          <w:color w:val="000000" w:themeColor="text1"/>
        </w:rPr>
        <w:t xml:space="preserve"> </w:t>
      </w:r>
      <w:r w:rsidRPr="003E2008">
        <w:rPr>
          <w:color w:val="000000" w:themeColor="text1"/>
        </w:rPr>
        <w:t xml:space="preserve">of the </w:t>
      </w:r>
      <w:r w:rsidR="00B11EA0">
        <w:rPr>
          <w:color w:val="000000" w:themeColor="text1"/>
        </w:rPr>
        <w:t xml:space="preserve">all </w:t>
      </w:r>
      <w:r w:rsidR="007E3398" w:rsidRPr="003E2008">
        <w:rPr>
          <w:color w:val="000000" w:themeColor="text1"/>
        </w:rPr>
        <w:t xml:space="preserve">projects </w:t>
      </w:r>
      <w:r w:rsidRPr="003E2008">
        <w:rPr>
          <w:color w:val="000000" w:themeColor="text1"/>
        </w:rPr>
        <w:t>have less than 100</w:t>
      </w:r>
      <w:r w:rsidR="007E3398" w:rsidRPr="003E2008">
        <w:rPr>
          <w:color w:val="000000" w:themeColor="text1"/>
        </w:rPr>
        <w:t xml:space="preserve"> backers. However, there seems to be no co-relation of project success to the number of backers.</w:t>
      </w:r>
    </w:p>
    <w:p w14:paraId="352C5C57" w14:textId="77777777" w:rsidR="0000550C" w:rsidRDefault="0000550C" w:rsidP="00D07CAA">
      <w:pPr>
        <w:ind w:left="540"/>
        <w:jc w:val="both"/>
        <w:rPr>
          <w:color w:val="000000" w:themeColor="text1"/>
        </w:rPr>
      </w:pPr>
    </w:p>
    <w:p w14:paraId="7ACD7F67" w14:textId="2F4A5A8C" w:rsidR="00004F6C" w:rsidRDefault="003005FE" w:rsidP="00D07CAA">
      <w:pPr>
        <w:keepNext/>
        <w:ind w:left="540"/>
        <w:jc w:val="center"/>
      </w:pPr>
      <w:r>
        <w:rPr>
          <w:noProof/>
        </w:rPr>
        <w:drawing>
          <wp:inline distT="0" distB="0" distL="0" distR="0" wp14:anchorId="52806A13" wp14:editId="24DAE9C1">
            <wp:extent cx="5510530" cy="2743200"/>
            <wp:effectExtent l="0" t="0" r="1397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3FC901C-B271-114A-A78F-319A811B2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19130D" w14:textId="7ACF0C33" w:rsidR="00004F6C" w:rsidRPr="002A660B" w:rsidRDefault="00004F6C" w:rsidP="00D07CAA">
      <w:pPr>
        <w:pStyle w:val="Caption"/>
        <w:ind w:left="540"/>
        <w:jc w:val="center"/>
        <w:rPr>
          <w:i w:val="0"/>
          <w:color w:val="000000" w:themeColor="text1"/>
        </w:rPr>
      </w:pPr>
      <w:r w:rsidRPr="002A660B">
        <w:rPr>
          <w:i w:val="0"/>
        </w:rPr>
        <w:t xml:space="preserve">Figure </w:t>
      </w:r>
      <w:r w:rsidR="005A13EB">
        <w:rPr>
          <w:i w:val="0"/>
        </w:rPr>
        <w:t>3</w:t>
      </w:r>
    </w:p>
    <w:p w14:paraId="580FC41A" w14:textId="39AF9E05" w:rsidR="00D821C3" w:rsidRDefault="00D821C3" w:rsidP="00D07CAA">
      <w:pPr>
        <w:ind w:left="540"/>
        <w:jc w:val="both"/>
      </w:pPr>
    </w:p>
    <w:p w14:paraId="214DEA61" w14:textId="77777777" w:rsidR="0046036B" w:rsidRDefault="0046036B" w:rsidP="00D07CAA">
      <w:pPr>
        <w:ind w:left="540"/>
        <w:jc w:val="both"/>
      </w:pPr>
    </w:p>
    <w:bookmarkEnd w:id="0"/>
    <w:p w14:paraId="70A4A8CD" w14:textId="167FBBCB" w:rsidR="00D821C3" w:rsidRPr="00D60230" w:rsidRDefault="00BE698B" w:rsidP="001D003D">
      <w:pPr>
        <w:pStyle w:val="ListParagraph"/>
        <w:numPr>
          <w:ilvl w:val="0"/>
          <w:numId w:val="3"/>
        </w:numPr>
        <w:ind w:left="360" w:hanging="270"/>
        <w:jc w:val="both"/>
        <w:rPr>
          <w:b/>
        </w:rPr>
      </w:pPr>
      <w:r w:rsidRPr="00D60230">
        <w:rPr>
          <w:b/>
        </w:rPr>
        <w:lastRenderedPageBreak/>
        <w:t>Project duration</w:t>
      </w:r>
    </w:p>
    <w:p w14:paraId="3BED5368" w14:textId="09DF4B10" w:rsidR="00526326" w:rsidRDefault="00471ACF" w:rsidP="00D07CAA">
      <w:pPr>
        <w:ind w:left="540"/>
        <w:jc w:val="both"/>
      </w:pPr>
      <w:r>
        <w:t>38% of the successful p</w:t>
      </w:r>
      <w:r w:rsidR="00862BBC">
        <w:t xml:space="preserve">rojects </w:t>
      </w:r>
      <w:r w:rsidR="00287A11">
        <w:t>has a duration of 30 days. However,</w:t>
      </w:r>
      <w:r>
        <w:t xml:space="preserve"> the project duration has no co-relation to the success of the project.</w:t>
      </w:r>
    </w:p>
    <w:p w14:paraId="6CBAD231" w14:textId="3D5410EB" w:rsidR="006F4A2E" w:rsidRDefault="006F4A2E" w:rsidP="00D07CAA">
      <w:pPr>
        <w:ind w:left="540"/>
        <w:jc w:val="both"/>
      </w:pPr>
    </w:p>
    <w:p w14:paraId="4B4382AD" w14:textId="77777777" w:rsidR="005C4F4A" w:rsidRDefault="00676460" w:rsidP="00D07CAA">
      <w:pPr>
        <w:keepNext/>
        <w:ind w:firstLine="540"/>
        <w:jc w:val="both"/>
      </w:pPr>
      <w:r>
        <w:rPr>
          <w:noProof/>
        </w:rPr>
        <w:drawing>
          <wp:inline distT="0" distB="0" distL="0" distR="0" wp14:anchorId="55C233D6" wp14:editId="729775C1">
            <wp:extent cx="5559425" cy="3322864"/>
            <wp:effectExtent l="0" t="0" r="15875" b="1778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1182692-D3AF-9B4C-A5AC-BDDA2EDDC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19EDB9" w14:textId="3FF985D5" w:rsidR="00BE698B" w:rsidRPr="002A660B" w:rsidRDefault="005C4F4A" w:rsidP="0012005E">
      <w:pPr>
        <w:pStyle w:val="Caption"/>
        <w:jc w:val="center"/>
        <w:rPr>
          <w:i w:val="0"/>
        </w:rPr>
      </w:pPr>
      <w:r w:rsidRPr="002A660B">
        <w:rPr>
          <w:i w:val="0"/>
        </w:rPr>
        <w:t xml:space="preserve">Figure </w:t>
      </w:r>
      <w:r w:rsidR="005A13EB">
        <w:rPr>
          <w:i w:val="0"/>
        </w:rPr>
        <w:t>4</w:t>
      </w:r>
    </w:p>
    <w:p w14:paraId="44E0B358" w14:textId="6B22ED2E" w:rsidR="00813C8E" w:rsidRDefault="00813C8E" w:rsidP="003E150D">
      <w:pPr>
        <w:jc w:val="both"/>
      </w:pPr>
    </w:p>
    <w:p w14:paraId="2C15C668" w14:textId="7F1D92EA" w:rsidR="00F02475" w:rsidRDefault="00F02475" w:rsidP="003E150D">
      <w:pPr>
        <w:jc w:val="both"/>
      </w:pPr>
    </w:p>
    <w:p w14:paraId="12AD42D0" w14:textId="1BE8EBFF" w:rsidR="00F02475" w:rsidRDefault="00F02475" w:rsidP="003E150D">
      <w:pPr>
        <w:jc w:val="both"/>
      </w:pPr>
    </w:p>
    <w:p w14:paraId="51B26596" w14:textId="77777777" w:rsidR="00F02475" w:rsidRDefault="00F02475" w:rsidP="003E150D">
      <w:pPr>
        <w:jc w:val="both"/>
      </w:pPr>
    </w:p>
    <w:p w14:paraId="5A45A036" w14:textId="75A21C2C" w:rsidR="00156155" w:rsidRPr="008D5740" w:rsidRDefault="008D5740" w:rsidP="001D003D">
      <w:pPr>
        <w:ind w:left="270" w:hanging="180"/>
        <w:jc w:val="both"/>
        <w:rPr>
          <w:b/>
        </w:rPr>
      </w:pPr>
      <w:r w:rsidRPr="008D5740">
        <w:rPr>
          <w:b/>
        </w:rPr>
        <w:t>Dataset limitations:</w:t>
      </w:r>
    </w:p>
    <w:p w14:paraId="671FBD97" w14:textId="77777777" w:rsidR="008D5740" w:rsidRDefault="008D5740" w:rsidP="001D003D">
      <w:pPr>
        <w:ind w:left="270" w:hanging="180"/>
        <w:jc w:val="both"/>
      </w:pPr>
    </w:p>
    <w:p w14:paraId="26EA9FF6" w14:textId="00F9071C" w:rsidR="00AC5309" w:rsidRDefault="00156155" w:rsidP="001D003D">
      <w:pPr>
        <w:ind w:left="270" w:hanging="180"/>
        <w:jc w:val="both"/>
      </w:pPr>
      <w:r>
        <w:t xml:space="preserve">The data provided has useful information that can be used to understand </w:t>
      </w:r>
      <w:r w:rsidR="00A70E61">
        <w:t xml:space="preserve">some parameters of </w:t>
      </w:r>
      <w:r>
        <w:t>the campaign</w:t>
      </w:r>
      <w:r w:rsidR="00797E4F">
        <w:t>.</w:t>
      </w:r>
      <w:r>
        <w:t xml:space="preserve"> </w:t>
      </w:r>
      <w:r w:rsidR="00797E4F">
        <w:t>H</w:t>
      </w:r>
      <w:r w:rsidR="009D3945">
        <w:t>owever</w:t>
      </w:r>
      <w:r w:rsidR="00AC5309">
        <w:t>, there are some details missing:</w:t>
      </w:r>
    </w:p>
    <w:p w14:paraId="0139FFFB" w14:textId="77777777" w:rsidR="00AC5309" w:rsidRDefault="00AC5309" w:rsidP="001D003D">
      <w:pPr>
        <w:ind w:left="270" w:hanging="180"/>
        <w:jc w:val="both"/>
      </w:pPr>
    </w:p>
    <w:p w14:paraId="370DD2DF" w14:textId="0870EA81" w:rsidR="00156155" w:rsidRDefault="00AC5309" w:rsidP="00101086">
      <w:pPr>
        <w:pStyle w:val="ListParagraph"/>
        <w:numPr>
          <w:ilvl w:val="0"/>
          <w:numId w:val="3"/>
        </w:numPr>
        <w:ind w:left="450" w:hanging="180"/>
        <w:jc w:val="both"/>
      </w:pPr>
      <w:r>
        <w:t>R</w:t>
      </w:r>
      <w:r w:rsidR="009D3945">
        <w:t xml:space="preserve">easons </w:t>
      </w:r>
      <w:r w:rsidR="00156155">
        <w:t xml:space="preserve">why a project </w:t>
      </w:r>
      <w:r w:rsidR="009D3945">
        <w:t xml:space="preserve">succeeded or </w:t>
      </w:r>
      <w:r w:rsidR="00156155">
        <w:t xml:space="preserve">failed. For instance, there is no information </w:t>
      </w:r>
      <w:r w:rsidR="00EA60BE">
        <w:t xml:space="preserve">of </w:t>
      </w:r>
      <w:r w:rsidR="00156155">
        <w:t>whether a campaign offering rewards</w:t>
      </w:r>
      <w:r w:rsidR="00770542">
        <w:t xml:space="preserve"> </w:t>
      </w:r>
      <w:r w:rsidR="00B70422">
        <w:t xml:space="preserve">to the backers </w:t>
      </w:r>
      <w:r w:rsidR="00770542">
        <w:t xml:space="preserve">and </w:t>
      </w:r>
      <w:r w:rsidR="00B44B20">
        <w:t>the</w:t>
      </w:r>
      <w:r w:rsidR="00770542">
        <w:t xml:space="preserve"> type of rewards</w:t>
      </w:r>
      <w:r w:rsidR="00156155">
        <w:t xml:space="preserve"> (cash, credits, discounts etc</w:t>
      </w:r>
      <w:r w:rsidR="003E150D">
        <w:t>.</w:t>
      </w:r>
      <w:r w:rsidR="00156155">
        <w:t xml:space="preserve">) has any </w:t>
      </w:r>
      <w:r w:rsidR="007C45F9">
        <w:t>effect on the success of the campaign.</w:t>
      </w:r>
    </w:p>
    <w:p w14:paraId="2FFB10A0" w14:textId="5AA08E7F" w:rsidR="007C45F9" w:rsidRDefault="007C45F9" w:rsidP="00101086">
      <w:pPr>
        <w:ind w:left="450" w:hanging="180"/>
        <w:jc w:val="both"/>
      </w:pPr>
    </w:p>
    <w:p w14:paraId="24253288" w14:textId="75F05757" w:rsidR="00B66201" w:rsidRDefault="00700395" w:rsidP="00101086">
      <w:pPr>
        <w:pStyle w:val="ListParagraph"/>
        <w:numPr>
          <w:ilvl w:val="0"/>
          <w:numId w:val="3"/>
        </w:numPr>
        <w:ind w:left="450" w:hanging="180"/>
        <w:jc w:val="both"/>
      </w:pPr>
      <w:r>
        <w:t>If</w:t>
      </w:r>
      <w:r w:rsidR="00BF5E41">
        <w:t xml:space="preserve"> </w:t>
      </w:r>
      <w:r>
        <w:t>the</w:t>
      </w:r>
      <w:r>
        <w:t xml:space="preserve"> </w:t>
      </w:r>
      <w:r>
        <w:t xml:space="preserve">method of </w:t>
      </w:r>
      <w:r w:rsidR="00395F64">
        <w:t>project advertise</w:t>
      </w:r>
      <w:r>
        <w:t>ment</w:t>
      </w:r>
      <w:r w:rsidR="00BF5E41">
        <w:t xml:space="preserve"> (Social media Vs </w:t>
      </w:r>
      <w:r w:rsidR="00DA30E8">
        <w:t>Flyers</w:t>
      </w:r>
      <w:r w:rsidR="00BF5E41">
        <w:t xml:space="preserve"> etc</w:t>
      </w:r>
      <w:r w:rsidR="00D364F0">
        <w:t>.</w:t>
      </w:r>
      <w:r w:rsidR="00BF5E41">
        <w:t xml:space="preserve">) has a </w:t>
      </w:r>
      <w:r>
        <w:t>role</w:t>
      </w:r>
      <w:r>
        <w:t xml:space="preserve"> </w:t>
      </w:r>
      <w:r>
        <w:t>in</w:t>
      </w:r>
      <w:r>
        <w:t xml:space="preserve"> </w:t>
      </w:r>
      <w:r w:rsidR="00BF5E41">
        <w:t>the success of the project.</w:t>
      </w:r>
      <w:r w:rsidR="00395F64">
        <w:t xml:space="preserve"> </w:t>
      </w:r>
    </w:p>
    <w:p w14:paraId="4210635F" w14:textId="77777777" w:rsidR="00B66201" w:rsidRDefault="00B66201" w:rsidP="00101086">
      <w:pPr>
        <w:pStyle w:val="ListParagraph"/>
        <w:ind w:left="450" w:hanging="180"/>
      </w:pPr>
    </w:p>
    <w:p w14:paraId="7F2AE115" w14:textId="22812A33" w:rsidR="00627095" w:rsidRDefault="00A21EA2" w:rsidP="00101086">
      <w:pPr>
        <w:pStyle w:val="ListParagraph"/>
        <w:numPr>
          <w:ilvl w:val="0"/>
          <w:numId w:val="3"/>
        </w:numPr>
        <w:ind w:left="450" w:hanging="180"/>
        <w:jc w:val="both"/>
      </w:pPr>
      <w:r>
        <w:t>Does</w:t>
      </w:r>
      <w:r w:rsidR="00B44506">
        <w:t xml:space="preserve"> geography play a</w:t>
      </w:r>
      <w:r w:rsidR="00B44506">
        <w:t xml:space="preserve"> </w:t>
      </w:r>
      <w:r w:rsidR="00B44506">
        <w:t xml:space="preserve">role to predict the </w:t>
      </w:r>
      <w:r w:rsidR="00B92737">
        <w:t>success of</w:t>
      </w:r>
      <w:r w:rsidR="00B44506">
        <w:t xml:space="preserve"> </w:t>
      </w:r>
      <w:r w:rsidR="00B44506">
        <w:t>a particular project category or sub-category.</w:t>
      </w:r>
    </w:p>
    <w:p w14:paraId="41FAF25E" w14:textId="77777777" w:rsidR="00624880" w:rsidRDefault="00624880" w:rsidP="00624880">
      <w:pPr>
        <w:pStyle w:val="ListParagraph"/>
      </w:pPr>
    </w:p>
    <w:p w14:paraId="503CA7B7" w14:textId="77777777" w:rsidR="00624880" w:rsidRDefault="00624880" w:rsidP="00624880">
      <w:pPr>
        <w:jc w:val="both"/>
      </w:pPr>
    </w:p>
    <w:p w14:paraId="2C5986D5" w14:textId="01591F80" w:rsidR="00C914C6" w:rsidRDefault="00C914C6" w:rsidP="003E150D">
      <w:pPr>
        <w:jc w:val="both"/>
        <w:rPr>
          <w:b/>
        </w:rPr>
      </w:pPr>
    </w:p>
    <w:p w14:paraId="22277198" w14:textId="3C7BFC5E" w:rsidR="00627095" w:rsidRPr="00627095" w:rsidRDefault="00627095" w:rsidP="003E150D">
      <w:pPr>
        <w:jc w:val="both"/>
        <w:rPr>
          <w:b/>
        </w:rPr>
      </w:pPr>
      <w:r w:rsidRPr="00627095">
        <w:rPr>
          <w:b/>
        </w:rPr>
        <w:t xml:space="preserve">Other </w:t>
      </w:r>
      <w:r w:rsidR="005E57AF" w:rsidRPr="00627095">
        <w:rPr>
          <w:b/>
        </w:rPr>
        <w:t>inferences</w:t>
      </w:r>
      <w:r w:rsidRPr="00627095">
        <w:rPr>
          <w:b/>
        </w:rPr>
        <w:t xml:space="preserve"> and graphs from the dataset:</w:t>
      </w:r>
    </w:p>
    <w:p w14:paraId="319C6101" w14:textId="77777777" w:rsidR="00627095" w:rsidRDefault="00627095" w:rsidP="003E150D">
      <w:pPr>
        <w:jc w:val="both"/>
      </w:pPr>
    </w:p>
    <w:p w14:paraId="6CBCF4D8" w14:textId="2B6B35ED" w:rsidR="00F71D20" w:rsidRDefault="00C045B0" w:rsidP="00175A98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t>United States and Great Britain are the countries with the most number of projec</w:t>
      </w:r>
      <w:r w:rsidR="00683A9B">
        <w:t>ts at 75</w:t>
      </w:r>
      <w:r w:rsidR="00627095">
        <w:t xml:space="preserve">% and 15% </w:t>
      </w:r>
      <w:r w:rsidR="00627095" w:rsidRPr="00BA3882">
        <w:t>respectively</w:t>
      </w:r>
      <w:r w:rsidR="00CE0265">
        <w:t>.</w:t>
      </w:r>
    </w:p>
    <w:p w14:paraId="075CE92D" w14:textId="77777777" w:rsidR="003B6712" w:rsidRDefault="003B6712" w:rsidP="003E150D">
      <w:pPr>
        <w:ind w:firstLine="720"/>
        <w:jc w:val="both"/>
        <w:rPr>
          <w:noProof/>
        </w:rPr>
      </w:pPr>
    </w:p>
    <w:p w14:paraId="0C3245B2" w14:textId="77777777" w:rsidR="00C45CE6" w:rsidRDefault="00F71D20" w:rsidP="001D003D">
      <w:pPr>
        <w:keepNext/>
        <w:ind w:firstLine="450"/>
        <w:jc w:val="both"/>
      </w:pPr>
      <w:r>
        <w:rPr>
          <w:noProof/>
        </w:rPr>
        <w:drawing>
          <wp:inline distT="0" distB="0" distL="0" distR="0" wp14:anchorId="007C0738" wp14:editId="7680BE42">
            <wp:extent cx="5682343" cy="3118485"/>
            <wp:effectExtent l="0" t="0" r="762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6069F36-6508-9144-A849-40F14A640C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1A620F" w14:textId="4EB0DCFF" w:rsidR="00C045B0" w:rsidRPr="0012005E" w:rsidRDefault="00C45CE6" w:rsidP="0012005E">
      <w:pPr>
        <w:pStyle w:val="Caption"/>
        <w:jc w:val="center"/>
        <w:rPr>
          <w:i w:val="0"/>
        </w:rPr>
      </w:pPr>
      <w:r w:rsidRPr="0012005E">
        <w:rPr>
          <w:i w:val="0"/>
        </w:rPr>
        <w:t xml:space="preserve">Figure </w:t>
      </w:r>
      <w:r w:rsidR="005A13EB">
        <w:rPr>
          <w:i w:val="0"/>
        </w:rPr>
        <w:t>5</w:t>
      </w:r>
    </w:p>
    <w:p w14:paraId="572DE672" w14:textId="2C5D566A" w:rsidR="00751059" w:rsidRDefault="00751059" w:rsidP="003E150D">
      <w:pPr>
        <w:ind w:firstLine="720"/>
        <w:jc w:val="both"/>
      </w:pPr>
    </w:p>
    <w:p w14:paraId="126B63C6" w14:textId="1DC05242" w:rsidR="00CC49D9" w:rsidRDefault="00CC49D9" w:rsidP="003E150D">
      <w:pPr>
        <w:jc w:val="both"/>
      </w:pPr>
    </w:p>
    <w:p w14:paraId="7620657F" w14:textId="53E2A9D4" w:rsidR="00851B93" w:rsidRDefault="00851B93" w:rsidP="003E150D">
      <w:pPr>
        <w:jc w:val="both"/>
      </w:pPr>
    </w:p>
    <w:p w14:paraId="79A5D9DD" w14:textId="77777777" w:rsidR="0097267D" w:rsidRPr="00D71CB5" w:rsidRDefault="0097267D" w:rsidP="003E150D">
      <w:pPr>
        <w:jc w:val="both"/>
        <w:rPr>
          <w:b/>
        </w:rPr>
      </w:pPr>
      <w:r w:rsidRPr="00D71CB5">
        <w:rPr>
          <w:b/>
        </w:rPr>
        <w:t>Methodology</w:t>
      </w:r>
    </w:p>
    <w:p w14:paraId="6AA3FF53" w14:textId="167C4A3B" w:rsidR="0097267D" w:rsidRDefault="00797E4F" w:rsidP="003E150D">
      <w:pPr>
        <w:jc w:val="both"/>
      </w:pPr>
      <w:r>
        <w:tab/>
      </w:r>
      <w:r w:rsidR="004F48CC">
        <w:t xml:space="preserve">The </w:t>
      </w:r>
      <w:r>
        <w:t>project</w:t>
      </w:r>
      <w:r w:rsidR="004F48CC">
        <w:t>’s success</w:t>
      </w:r>
      <w:r>
        <w:t xml:space="preserve"> </w:t>
      </w:r>
      <w:r w:rsidR="0097267D">
        <w:t xml:space="preserve">was compared to other variables in the dataset to identify any co-relation between the various variables. Pivot tables, graphs and </w:t>
      </w:r>
      <w:r w:rsidR="00FF2D8D">
        <w:t xml:space="preserve">logical </w:t>
      </w:r>
      <w:r w:rsidR="0097267D">
        <w:t>regression was used to identify patterns and co-relation between the variables.</w:t>
      </w:r>
    </w:p>
    <w:p w14:paraId="3086FFBA" w14:textId="77777777" w:rsidR="0097267D" w:rsidRDefault="0097267D" w:rsidP="003E150D">
      <w:pPr>
        <w:jc w:val="both"/>
      </w:pPr>
    </w:p>
    <w:p w14:paraId="5886ECD0" w14:textId="77777777" w:rsidR="008205A0" w:rsidRDefault="008205A0" w:rsidP="003E150D">
      <w:pPr>
        <w:jc w:val="both"/>
        <w:rPr>
          <w:b/>
        </w:rPr>
      </w:pPr>
    </w:p>
    <w:p w14:paraId="33FAE9FD" w14:textId="77777777" w:rsidR="008205A0" w:rsidRDefault="008205A0" w:rsidP="003E150D">
      <w:pPr>
        <w:jc w:val="both"/>
        <w:rPr>
          <w:b/>
        </w:rPr>
      </w:pPr>
    </w:p>
    <w:p w14:paraId="460D3D9D" w14:textId="6F7CCA46" w:rsidR="0097267D" w:rsidRDefault="0097267D" w:rsidP="003E150D">
      <w:pPr>
        <w:jc w:val="both"/>
      </w:pPr>
      <w:r w:rsidRPr="00D71CB5">
        <w:rPr>
          <w:b/>
        </w:rPr>
        <w:t>Conclusion</w:t>
      </w:r>
    </w:p>
    <w:p w14:paraId="5458D564" w14:textId="2927A43B" w:rsidR="008C2D2A" w:rsidRDefault="0097267D" w:rsidP="003E150D">
      <w:pPr>
        <w:jc w:val="both"/>
      </w:pPr>
      <w:r>
        <w:tab/>
      </w:r>
      <w:r w:rsidR="008A562E">
        <w:t>Even though</w:t>
      </w:r>
      <w:r w:rsidR="008C2D2A">
        <w:t xml:space="preserve"> there is no hidden trend identified that can </w:t>
      </w:r>
      <w:r w:rsidR="008A562E">
        <w:t>predict</w:t>
      </w:r>
      <w:r w:rsidR="008C2D2A">
        <w:t xml:space="preserve"> </w:t>
      </w:r>
      <w:r w:rsidR="000872F4">
        <w:t>the success of a</w:t>
      </w:r>
      <w:r w:rsidR="008C2D2A">
        <w:t xml:space="preserve"> project, there is a good chance that a project may succeed with a low goal amount, shorter project duration and</w:t>
      </w:r>
      <w:r w:rsidR="001F6208">
        <w:t>,</w:t>
      </w:r>
      <w:r w:rsidR="008C2D2A">
        <w:t xml:space="preserve"> if the project </w:t>
      </w:r>
      <w:r w:rsidR="00F25EE2">
        <w:t xml:space="preserve">is a seasonal one, is </w:t>
      </w:r>
      <w:r w:rsidR="008C2D2A">
        <w:t xml:space="preserve">launched </w:t>
      </w:r>
      <w:r w:rsidR="00F25EE2">
        <w:t>at the appropriate time</w:t>
      </w:r>
      <w:r w:rsidR="008C2D2A">
        <w:t>.</w:t>
      </w:r>
    </w:p>
    <w:p w14:paraId="4F0E48A3" w14:textId="77777777" w:rsidR="008C2D2A" w:rsidRDefault="008C2D2A" w:rsidP="003E150D">
      <w:pPr>
        <w:jc w:val="both"/>
      </w:pPr>
    </w:p>
    <w:p w14:paraId="3ACB8D9B" w14:textId="4FBCBA3F" w:rsidR="00175A98" w:rsidRPr="00E71B9A" w:rsidRDefault="00175A98" w:rsidP="003E150D">
      <w:pPr>
        <w:jc w:val="both"/>
        <w:rPr>
          <w:color w:val="2F5496" w:themeColor="accent1" w:themeShade="BF"/>
        </w:rPr>
      </w:pPr>
    </w:p>
    <w:sectPr w:rsidR="00175A98" w:rsidRPr="00E71B9A" w:rsidSect="009B1E8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5C31A" w14:textId="77777777" w:rsidR="00FD232A" w:rsidRDefault="00FD232A" w:rsidP="00E202C9">
      <w:r>
        <w:separator/>
      </w:r>
    </w:p>
  </w:endnote>
  <w:endnote w:type="continuationSeparator" w:id="0">
    <w:p w14:paraId="5F7CCF40" w14:textId="77777777" w:rsidR="00FD232A" w:rsidRDefault="00FD232A" w:rsidP="00E2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0EAD3" w14:textId="77777777" w:rsidR="00FD232A" w:rsidRDefault="00FD232A" w:rsidP="00E202C9">
      <w:r>
        <w:separator/>
      </w:r>
    </w:p>
  </w:footnote>
  <w:footnote w:type="continuationSeparator" w:id="0">
    <w:p w14:paraId="255C2382" w14:textId="77777777" w:rsidR="00FD232A" w:rsidRDefault="00FD232A" w:rsidP="00E20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F403D" w14:textId="3BFA4FE5" w:rsidR="00E202C9" w:rsidRDefault="00E202C9" w:rsidP="00E202C9">
    <w:pPr>
      <w:pStyle w:val="Header"/>
      <w:jc w:val="right"/>
    </w:pPr>
    <w:r w:rsidRPr="00E202C9">
      <w:t>Name: Paulina Paul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F72"/>
    <w:multiLevelType w:val="hybridMultilevel"/>
    <w:tmpl w:val="B17096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E63F1"/>
    <w:multiLevelType w:val="hybridMultilevel"/>
    <w:tmpl w:val="A9166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5C0A"/>
    <w:multiLevelType w:val="hybridMultilevel"/>
    <w:tmpl w:val="EF0EA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E"/>
    <w:rsid w:val="00004F6C"/>
    <w:rsid w:val="0000550C"/>
    <w:rsid w:val="00012EF6"/>
    <w:rsid w:val="00047C34"/>
    <w:rsid w:val="00071563"/>
    <w:rsid w:val="00080A9F"/>
    <w:rsid w:val="0008338B"/>
    <w:rsid w:val="000872F4"/>
    <w:rsid w:val="00091D89"/>
    <w:rsid w:val="0009608D"/>
    <w:rsid w:val="000C1680"/>
    <w:rsid w:val="000C6368"/>
    <w:rsid w:val="000E2070"/>
    <w:rsid w:val="00101086"/>
    <w:rsid w:val="0012005E"/>
    <w:rsid w:val="00126711"/>
    <w:rsid w:val="00156155"/>
    <w:rsid w:val="00162C37"/>
    <w:rsid w:val="00164C40"/>
    <w:rsid w:val="00175A98"/>
    <w:rsid w:val="00196104"/>
    <w:rsid w:val="001A289C"/>
    <w:rsid w:val="001C7E81"/>
    <w:rsid w:val="001D003D"/>
    <w:rsid w:val="001E1C64"/>
    <w:rsid w:val="001E252D"/>
    <w:rsid w:val="001F6208"/>
    <w:rsid w:val="001F6E09"/>
    <w:rsid w:val="00227934"/>
    <w:rsid w:val="00237F62"/>
    <w:rsid w:val="00256A17"/>
    <w:rsid w:val="002619F2"/>
    <w:rsid w:val="00262F8F"/>
    <w:rsid w:val="002706E8"/>
    <w:rsid w:val="00287A11"/>
    <w:rsid w:val="00297914"/>
    <w:rsid w:val="002A4D55"/>
    <w:rsid w:val="002A660B"/>
    <w:rsid w:val="002A67E4"/>
    <w:rsid w:val="002D6435"/>
    <w:rsid w:val="002E611F"/>
    <w:rsid w:val="002F0AF0"/>
    <w:rsid w:val="003005FE"/>
    <w:rsid w:val="003111ED"/>
    <w:rsid w:val="003310B8"/>
    <w:rsid w:val="00337800"/>
    <w:rsid w:val="00340618"/>
    <w:rsid w:val="00357D25"/>
    <w:rsid w:val="0037367A"/>
    <w:rsid w:val="00395F64"/>
    <w:rsid w:val="003A1676"/>
    <w:rsid w:val="003A1A8A"/>
    <w:rsid w:val="003B6712"/>
    <w:rsid w:val="003D170C"/>
    <w:rsid w:val="003E150D"/>
    <w:rsid w:val="003E2008"/>
    <w:rsid w:val="003E62F2"/>
    <w:rsid w:val="0041285F"/>
    <w:rsid w:val="00421C42"/>
    <w:rsid w:val="00423C5B"/>
    <w:rsid w:val="0042623A"/>
    <w:rsid w:val="004309A1"/>
    <w:rsid w:val="0046036B"/>
    <w:rsid w:val="00471ACF"/>
    <w:rsid w:val="004D75F8"/>
    <w:rsid w:val="004E6790"/>
    <w:rsid w:val="004F46C7"/>
    <w:rsid w:val="004F48CC"/>
    <w:rsid w:val="00516AD2"/>
    <w:rsid w:val="0052210A"/>
    <w:rsid w:val="00523065"/>
    <w:rsid w:val="00523CEE"/>
    <w:rsid w:val="00526326"/>
    <w:rsid w:val="00526A39"/>
    <w:rsid w:val="00527EFF"/>
    <w:rsid w:val="0056628B"/>
    <w:rsid w:val="005A13D6"/>
    <w:rsid w:val="005A13EB"/>
    <w:rsid w:val="005C4F4A"/>
    <w:rsid w:val="005E57AF"/>
    <w:rsid w:val="00624880"/>
    <w:rsid w:val="00627095"/>
    <w:rsid w:val="0064044B"/>
    <w:rsid w:val="006663D5"/>
    <w:rsid w:val="00676460"/>
    <w:rsid w:val="00683A9B"/>
    <w:rsid w:val="006D5439"/>
    <w:rsid w:val="006F4A2E"/>
    <w:rsid w:val="00700395"/>
    <w:rsid w:val="007148B7"/>
    <w:rsid w:val="00751059"/>
    <w:rsid w:val="00770542"/>
    <w:rsid w:val="007708A2"/>
    <w:rsid w:val="007768C8"/>
    <w:rsid w:val="00785D8E"/>
    <w:rsid w:val="00792A09"/>
    <w:rsid w:val="00797E4F"/>
    <w:rsid w:val="007B6180"/>
    <w:rsid w:val="007B67B7"/>
    <w:rsid w:val="007C0F12"/>
    <w:rsid w:val="007C45F9"/>
    <w:rsid w:val="007D73FF"/>
    <w:rsid w:val="007E3398"/>
    <w:rsid w:val="00813C8E"/>
    <w:rsid w:val="008205A0"/>
    <w:rsid w:val="00851B93"/>
    <w:rsid w:val="0086151A"/>
    <w:rsid w:val="00862BBC"/>
    <w:rsid w:val="00896077"/>
    <w:rsid w:val="008A562E"/>
    <w:rsid w:val="008B47FA"/>
    <w:rsid w:val="008B670E"/>
    <w:rsid w:val="008B765C"/>
    <w:rsid w:val="008C2D2A"/>
    <w:rsid w:val="008D5740"/>
    <w:rsid w:val="008F333A"/>
    <w:rsid w:val="00930F72"/>
    <w:rsid w:val="00962A8C"/>
    <w:rsid w:val="009634CE"/>
    <w:rsid w:val="00965AA8"/>
    <w:rsid w:val="0097267D"/>
    <w:rsid w:val="0098584B"/>
    <w:rsid w:val="009B1E8C"/>
    <w:rsid w:val="009B2458"/>
    <w:rsid w:val="009B2746"/>
    <w:rsid w:val="009B6E4F"/>
    <w:rsid w:val="009C055B"/>
    <w:rsid w:val="009C525A"/>
    <w:rsid w:val="009C6312"/>
    <w:rsid w:val="009C7275"/>
    <w:rsid w:val="009D3945"/>
    <w:rsid w:val="009D40CC"/>
    <w:rsid w:val="009F2187"/>
    <w:rsid w:val="00A21EA2"/>
    <w:rsid w:val="00A70E61"/>
    <w:rsid w:val="00AA779B"/>
    <w:rsid w:val="00AB7BA8"/>
    <w:rsid w:val="00AC5309"/>
    <w:rsid w:val="00AE1CDE"/>
    <w:rsid w:val="00AE224F"/>
    <w:rsid w:val="00AF6694"/>
    <w:rsid w:val="00B11EA0"/>
    <w:rsid w:val="00B44506"/>
    <w:rsid w:val="00B44B20"/>
    <w:rsid w:val="00B5390A"/>
    <w:rsid w:val="00B64F4D"/>
    <w:rsid w:val="00B66201"/>
    <w:rsid w:val="00B70422"/>
    <w:rsid w:val="00B85880"/>
    <w:rsid w:val="00B92737"/>
    <w:rsid w:val="00B939B6"/>
    <w:rsid w:val="00BA18BA"/>
    <w:rsid w:val="00BA3882"/>
    <w:rsid w:val="00BA7026"/>
    <w:rsid w:val="00BD22A1"/>
    <w:rsid w:val="00BE698B"/>
    <w:rsid w:val="00BF5E41"/>
    <w:rsid w:val="00C045B0"/>
    <w:rsid w:val="00C368C9"/>
    <w:rsid w:val="00C45CE6"/>
    <w:rsid w:val="00C473B6"/>
    <w:rsid w:val="00C540DC"/>
    <w:rsid w:val="00C623EB"/>
    <w:rsid w:val="00C82EC8"/>
    <w:rsid w:val="00C914C6"/>
    <w:rsid w:val="00CC49D9"/>
    <w:rsid w:val="00CD1C1A"/>
    <w:rsid w:val="00CD50CE"/>
    <w:rsid w:val="00CE0265"/>
    <w:rsid w:val="00CF3969"/>
    <w:rsid w:val="00D07CAA"/>
    <w:rsid w:val="00D364F0"/>
    <w:rsid w:val="00D36831"/>
    <w:rsid w:val="00D3773B"/>
    <w:rsid w:val="00D4097A"/>
    <w:rsid w:val="00D43EA2"/>
    <w:rsid w:val="00D54EA7"/>
    <w:rsid w:val="00D5648E"/>
    <w:rsid w:val="00D60230"/>
    <w:rsid w:val="00D71CB5"/>
    <w:rsid w:val="00D821C3"/>
    <w:rsid w:val="00D939EE"/>
    <w:rsid w:val="00D95BD7"/>
    <w:rsid w:val="00DA30E8"/>
    <w:rsid w:val="00DA4D39"/>
    <w:rsid w:val="00DA78E3"/>
    <w:rsid w:val="00DE79C9"/>
    <w:rsid w:val="00E04360"/>
    <w:rsid w:val="00E202C9"/>
    <w:rsid w:val="00E23A22"/>
    <w:rsid w:val="00E5198A"/>
    <w:rsid w:val="00E6773D"/>
    <w:rsid w:val="00E71B9A"/>
    <w:rsid w:val="00E778FC"/>
    <w:rsid w:val="00EA05B8"/>
    <w:rsid w:val="00EA60BE"/>
    <w:rsid w:val="00EF52D0"/>
    <w:rsid w:val="00EF6AA6"/>
    <w:rsid w:val="00F02475"/>
    <w:rsid w:val="00F072A5"/>
    <w:rsid w:val="00F13387"/>
    <w:rsid w:val="00F13ACE"/>
    <w:rsid w:val="00F25EE2"/>
    <w:rsid w:val="00F71D20"/>
    <w:rsid w:val="00F81AEF"/>
    <w:rsid w:val="00F93A6B"/>
    <w:rsid w:val="00F97BE9"/>
    <w:rsid w:val="00FA0819"/>
    <w:rsid w:val="00FA7D71"/>
    <w:rsid w:val="00FC0B96"/>
    <w:rsid w:val="00FD232A"/>
    <w:rsid w:val="00FE2C69"/>
    <w:rsid w:val="00FE4B56"/>
    <w:rsid w:val="00FF221A"/>
    <w:rsid w:val="00FF2D8D"/>
    <w:rsid w:val="00FF39BB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6B6E"/>
  <w15:chartTrackingRefBased/>
  <w15:docId w15:val="{7D1C2FBA-6026-D644-AEFB-D2788CD9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9"/>
  </w:style>
  <w:style w:type="paragraph" w:styleId="Footer">
    <w:name w:val="footer"/>
    <w:basedOn w:val="Normal"/>
    <w:link w:val="FooterChar"/>
    <w:uiPriority w:val="99"/>
    <w:unhideWhenUsed/>
    <w:rsid w:val="00E20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9"/>
  </w:style>
  <w:style w:type="character" w:styleId="CommentReference">
    <w:name w:val="annotation reference"/>
    <w:basedOn w:val="DefaultParagraphFont"/>
    <w:uiPriority w:val="99"/>
    <w:semiHidden/>
    <w:unhideWhenUsed/>
    <w:rsid w:val="00012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E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EF6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9608D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F3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Github/UCSD_DataScience_2018/Homework_01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Github/UCSD_DataScience_2018/Homework_01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Github/UCSD_DataScience_2018/Homework_01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Github/UCSD_DataScience_2018/Homework_01/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ulinapaul/Desktop/Github/UCSD_DataScience_2018/Homework_01/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[StarterBook.xlsx]Launch_timing!PivotTable20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Launch</a:t>
            </a:r>
            <a:r>
              <a:rPr lang="en-US" b="1" baseline="0"/>
              <a:t> timing Vs. Success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Launch_timing!$B$4:$B$5</c:f>
              <c:strCache>
                <c:ptCount val="1"/>
                <c:pt idx="0">
                  <c:v>music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Launch_timing!$A$6:$A$18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Launch_timing!$B$6:$B$18</c:f>
              <c:numCache>
                <c:formatCode>General</c:formatCode>
                <c:ptCount val="12"/>
                <c:pt idx="0">
                  <c:v>54</c:v>
                </c:pt>
                <c:pt idx="1">
                  <c:v>49</c:v>
                </c:pt>
                <c:pt idx="2">
                  <c:v>49</c:v>
                </c:pt>
                <c:pt idx="3">
                  <c:v>48</c:v>
                </c:pt>
                <c:pt idx="4">
                  <c:v>54</c:v>
                </c:pt>
                <c:pt idx="5">
                  <c:v>46</c:v>
                </c:pt>
                <c:pt idx="6">
                  <c:v>39</c:v>
                </c:pt>
                <c:pt idx="7">
                  <c:v>44</c:v>
                </c:pt>
                <c:pt idx="8">
                  <c:v>38</c:v>
                </c:pt>
                <c:pt idx="9">
                  <c:v>43</c:v>
                </c:pt>
                <c:pt idx="10">
                  <c:v>46</c:v>
                </c:pt>
                <c:pt idx="1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9D-B643-8AD6-31B8A23484D1}"/>
            </c:ext>
          </c:extLst>
        </c:ser>
        <c:ser>
          <c:idx val="1"/>
          <c:order val="1"/>
          <c:tx>
            <c:strRef>
              <c:f>Launch_timing!$C$4:$C$5</c:f>
              <c:strCache>
                <c:ptCount val="1"/>
                <c:pt idx="0">
                  <c:v>theater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Launch_timing!$A$6:$A$18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Launch_timing!$C$6:$C$18</c:f>
              <c:numCache>
                <c:formatCode>General</c:formatCode>
                <c:ptCount val="12"/>
                <c:pt idx="0">
                  <c:v>56</c:v>
                </c:pt>
                <c:pt idx="1">
                  <c:v>71</c:v>
                </c:pt>
                <c:pt idx="2">
                  <c:v>56</c:v>
                </c:pt>
                <c:pt idx="3">
                  <c:v>71</c:v>
                </c:pt>
                <c:pt idx="4">
                  <c:v>111</c:v>
                </c:pt>
                <c:pt idx="5">
                  <c:v>100</c:v>
                </c:pt>
                <c:pt idx="6">
                  <c:v>87</c:v>
                </c:pt>
                <c:pt idx="7">
                  <c:v>72</c:v>
                </c:pt>
                <c:pt idx="8">
                  <c:v>59</c:v>
                </c:pt>
                <c:pt idx="9">
                  <c:v>65</c:v>
                </c:pt>
                <c:pt idx="10">
                  <c:v>54</c:v>
                </c:pt>
                <c:pt idx="11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9D-B643-8AD6-31B8A2348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297504"/>
        <c:axId val="601299184"/>
      </c:lineChart>
      <c:catAx>
        <c:axId val="601297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Timing</a:t>
                </a:r>
                <a:r>
                  <a:rPr lang="en-US" b="1" baseline="0"/>
                  <a:t> of project launch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299184"/>
        <c:crosses val="autoZero"/>
        <c:auto val="1"/>
        <c:lblAlgn val="ctr"/>
        <c:lblOffset val="100"/>
        <c:noMultiLvlLbl val="0"/>
      </c:catAx>
      <c:valAx>
        <c:axId val="60129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29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Goal</a:t>
            </a:r>
            <a:r>
              <a:rPr lang="en-US" sz="1200" b="1" baseline="0"/>
              <a:t> Outcomes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779796756174704E-2"/>
          <c:y val="0.17959869719562291"/>
          <c:w val="0.91100696547546944"/>
          <c:h val="0.5214235067383628"/>
        </c:manualLayout>
      </c:layout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3810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8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8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1F-9B48-9D7B-6ED2C3FF91EA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3810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8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8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1F-9B48-9D7B-6ED2C3FF91EA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8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8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1F-9B48-9D7B-6ED2C3FF9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2434000"/>
        <c:axId val="1563388576"/>
      </c:lineChart>
      <c:catAx>
        <c:axId val="1562434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Goal $</a:t>
                </a:r>
              </a:p>
            </c:rich>
          </c:tx>
          <c:layout>
            <c:manualLayout>
              <c:xMode val="edge"/>
              <c:yMode val="edge"/>
              <c:x val="0.49130467702717351"/>
              <c:y val="0.932925862470171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388576"/>
        <c:crosses val="autoZero"/>
        <c:auto val="1"/>
        <c:lblAlgn val="ctr"/>
        <c:lblOffset val="100"/>
        <c:noMultiLvlLbl val="0"/>
      </c:catAx>
      <c:valAx>
        <c:axId val="156338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Success</a:t>
                </a:r>
                <a:r>
                  <a:rPr lang="en-US" sz="1000" b="1" baseline="0"/>
                  <a:t> Rate</a:t>
                </a:r>
                <a:endParaRPr lang="en-US" sz="1000" b="1"/>
              </a:p>
            </c:rich>
          </c:tx>
          <c:layout>
            <c:manualLayout>
              <c:xMode val="edge"/>
              <c:yMode val="edge"/>
              <c:x val="0"/>
              <c:y val="0.262267725834536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43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310384278888217"/>
          <c:y val="0.86149803665730562"/>
          <c:w val="0.71348593445050135"/>
          <c:h val="5.09384958769327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</a:t>
            </a:r>
            <a:r>
              <a:rPr lang="en-US" sz="1200" b="1" baseline="0"/>
              <a:t> status by Backers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8943265318413895E-2"/>
          <c:y val="0.17168999708369789"/>
          <c:w val="0.86891499986612919"/>
          <c:h val="0.640824584426946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Backers!$B$1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Backers!$A$2:$A$10</c:f>
              <c:strCache>
                <c:ptCount val="9"/>
                <c:pt idx="0">
                  <c:v>0 -99</c:v>
                </c:pt>
                <c:pt idx="1">
                  <c:v>100 - 199</c:v>
                </c:pt>
                <c:pt idx="2">
                  <c:v>200 - 299</c:v>
                </c:pt>
                <c:pt idx="3">
                  <c:v>300 - 399</c:v>
                </c:pt>
                <c:pt idx="4">
                  <c:v>400 - 499 </c:v>
                </c:pt>
                <c:pt idx="5">
                  <c:v>500 - 999</c:v>
                </c:pt>
                <c:pt idx="6">
                  <c:v>1000- 1499</c:v>
                </c:pt>
                <c:pt idx="7">
                  <c:v>1500 - 1999</c:v>
                </c:pt>
                <c:pt idx="8">
                  <c:v>2000 and above</c:v>
                </c:pt>
              </c:strCache>
            </c:strRef>
          </c:cat>
          <c:val>
            <c:numRef>
              <c:f>Backers!$B$2:$B$10</c:f>
              <c:numCache>
                <c:formatCode>General</c:formatCode>
                <c:ptCount val="9"/>
                <c:pt idx="0">
                  <c:v>1452</c:v>
                </c:pt>
                <c:pt idx="1">
                  <c:v>345</c:v>
                </c:pt>
                <c:pt idx="2">
                  <c:v>133</c:v>
                </c:pt>
                <c:pt idx="3">
                  <c:v>71</c:v>
                </c:pt>
                <c:pt idx="4">
                  <c:v>41</c:v>
                </c:pt>
                <c:pt idx="5">
                  <c:v>80</c:v>
                </c:pt>
                <c:pt idx="6">
                  <c:v>23</c:v>
                </c:pt>
                <c:pt idx="7">
                  <c:v>16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91-CA48-83FC-09FAA746F57C}"/>
            </c:ext>
          </c:extLst>
        </c:ser>
        <c:ser>
          <c:idx val="1"/>
          <c:order val="1"/>
          <c:tx>
            <c:strRef>
              <c:f>Backers!$C$1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Backers!$A$2:$A$10</c:f>
              <c:strCache>
                <c:ptCount val="9"/>
                <c:pt idx="0">
                  <c:v>0 -99</c:v>
                </c:pt>
                <c:pt idx="1">
                  <c:v>100 - 199</c:v>
                </c:pt>
                <c:pt idx="2">
                  <c:v>200 - 299</c:v>
                </c:pt>
                <c:pt idx="3">
                  <c:v>300 - 399</c:v>
                </c:pt>
                <c:pt idx="4">
                  <c:v>400 - 499 </c:v>
                </c:pt>
                <c:pt idx="5">
                  <c:v>500 - 999</c:v>
                </c:pt>
                <c:pt idx="6">
                  <c:v>1000- 1499</c:v>
                </c:pt>
                <c:pt idx="7">
                  <c:v>1500 - 1999</c:v>
                </c:pt>
                <c:pt idx="8">
                  <c:v>2000 and above</c:v>
                </c:pt>
              </c:strCache>
            </c:strRef>
          </c:cat>
          <c:val>
            <c:numRef>
              <c:f>Backers!$C$2:$C$10</c:f>
              <c:numCache>
                <c:formatCode>General</c:formatCode>
                <c:ptCount val="9"/>
                <c:pt idx="0">
                  <c:v>1475</c:v>
                </c:pt>
                <c:pt idx="1">
                  <c:v>37</c:v>
                </c:pt>
                <c:pt idx="2">
                  <c:v>7</c:v>
                </c:pt>
                <c:pt idx="3">
                  <c:v>6</c:v>
                </c:pt>
                <c:pt idx="4">
                  <c:v>1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91-CA48-83FC-09FAA746F57C}"/>
            </c:ext>
          </c:extLst>
        </c:ser>
        <c:ser>
          <c:idx val="2"/>
          <c:order val="2"/>
          <c:tx>
            <c:strRef>
              <c:f>Backers!$D$1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Backers!$A$2:$A$10</c:f>
              <c:strCache>
                <c:ptCount val="9"/>
                <c:pt idx="0">
                  <c:v>0 -99</c:v>
                </c:pt>
                <c:pt idx="1">
                  <c:v>100 - 199</c:v>
                </c:pt>
                <c:pt idx="2">
                  <c:v>200 - 299</c:v>
                </c:pt>
                <c:pt idx="3">
                  <c:v>300 - 399</c:v>
                </c:pt>
                <c:pt idx="4">
                  <c:v>400 - 499 </c:v>
                </c:pt>
                <c:pt idx="5">
                  <c:v>500 - 999</c:v>
                </c:pt>
                <c:pt idx="6">
                  <c:v>1000- 1499</c:v>
                </c:pt>
                <c:pt idx="7">
                  <c:v>1500 - 1999</c:v>
                </c:pt>
                <c:pt idx="8">
                  <c:v>2000 and above</c:v>
                </c:pt>
              </c:strCache>
            </c:strRef>
          </c:cat>
          <c:val>
            <c:numRef>
              <c:f>Backers!$D$2:$D$10</c:f>
              <c:numCache>
                <c:formatCode>General</c:formatCode>
                <c:ptCount val="9"/>
                <c:pt idx="0">
                  <c:v>328</c:v>
                </c:pt>
                <c:pt idx="1">
                  <c:v>20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91-CA48-83FC-09FAA746F57C}"/>
            </c:ext>
          </c:extLst>
        </c:ser>
        <c:ser>
          <c:idx val="3"/>
          <c:order val="3"/>
          <c:tx>
            <c:strRef>
              <c:f>Backers!$E$1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Backers!$A$2:$A$10</c:f>
              <c:strCache>
                <c:ptCount val="9"/>
                <c:pt idx="0">
                  <c:v>0 -99</c:v>
                </c:pt>
                <c:pt idx="1">
                  <c:v>100 - 199</c:v>
                </c:pt>
                <c:pt idx="2">
                  <c:v>200 - 299</c:v>
                </c:pt>
                <c:pt idx="3">
                  <c:v>300 - 399</c:v>
                </c:pt>
                <c:pt idx="4">
                  <c:v>400 - 499 </c:v>
                </c:pt>
                <c:pt idx="5">
                  <c:v>500 - 999</c:v>
                </c:pt>
                <c:pt idx="6">
                  <c:v>1000- 1499</c:v>
                </c:pt>
                <c:pt idx="7">
                  <c:v>1500 - 1999</c:v>
                </c:pt>
                <c:pt idx="8">
                  <c:v>2000 and above</c:v>
                </c:pt>
              </c:strCache>
            </c:strRef>
          </c:cat>
          <c:val>
            <c:numRef>
              <c:f>Backers!$E$2:$E$10</c:f>
              <c:numCache>
                <c:formatCode>General</c:formatCode>
                <c:ptCount val="9"/>
                <c:pt idx="0">
                  <c:v>47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91-CA48-83FC-09FAA746F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7526576"/>
        <c:axId val="557261904"/>
      </c:barChart>
      <c:catAx>
        <c:axId val="557526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Number</a:t>
                </a:r>
                <a:r>
                  <a:rPr lang="en-US" sz="1000" b="1" baseline="0"/>
                  <a:t> of Backers</a:t>
                </a:r>
                <a:endParaRPr lang="en-US" sz="1000" b="1"/>
              </a:p>
            </c:rich>
          </c:tx>
          <c:layout>
            <c:manualLayout>
              <c:xMode val="edge"/>
              <c:yMode val="edge"/>
              <c:x val="0.40080954100603755"/>
              <c:y val="0.884860017497812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261904"/>
        <c:crosses val="autoZero"/>
        <c:auto val="1"/>
        <c:lblAlgn val="ctr"/>
        <c:lblOffset val="100"/>
        <c:noMultiLvlLbl val="0"/>
      </c:catAx>
      <c:valAx>
        <c:axId val="55726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Projects</a:t>
                </a:r>
              </a:p>
            </c:rich>
          </c:tx>
          <c:layout>
            <c:manualLayout>
              <c:xMode val="edge"/>
              <c:yMode val="edge"/>
              <c:x val="1.3828070984097718E-2"/>
              <c:y val="0.343097477398658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52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5244000393486941"/>
          <c:y val="0.15800816564596093"/>
          <c:w val="8.7539209690043487E-2"/>
          <c:h val="0.314214056576261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[StarterBook.xlsx]ProjectDuration!PivotTable16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 duration</a:t>
            </a:r>
            <a:r>
              <a:rPr lang="en-US" sz="1200" b="1" baseline="0"/>
              <a:t> Vs Success</a:t>
            </a:r>
            <a:endParaRPr lang="en-US" sz="1200" b="1"/>
          </a:p>
        </c:rich>
      </c:tx>
      <c:layout>
        <c:manualLayout>
          <c:xMode val="edge"/>
          <c:yMode val="edge"/>
          <c:x val="0.35660323709536307"/>
          <c:y val="5.68824826553219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5626556295847631E-2"/>
          <c:y val="0.12639190101237346"/>
          <c:w val="0.87217073827310043"/>
          <c:h val="0.7585861687013894"/>
        </c:manualLayout>
      </c:layout>
      <c:lineChart>
        <c:grouping val="standard"/>
        <c:varyColors val="0"/>
        <c:ser>
          <c:idx val="0"/>
          <c:order val="0"/>
          <c:tx>
            <c:strRef>
              <c:f>ProjectDuration!$B$3:$B$4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ProjectDuration!$A$5:$A$43</c:f>
              <c:strCache>
                <c:ptCount val="38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  <c:pt idx="10">
                  <c:v>24</c:v>
                </c:pt>
                <c:pt idx="11">
                  <c:v>25</c:v>
                </c:pt>
                <c:pt idx="12">
                  <c:v>26</c:v>
                </c:pt>
                <c:pt idx="13">
                  <c:v>27</c:v>
                </c:pt>
                <c:pt idx="14">
                  <c:v>28</c:v>
                </c:pt>
                <c:pt idx="15">
                  <c:v>29</c:v>
                </c:pt>
                <c:pt idx="16">
                  <c:v>30</c:v>
                </c:pt>
                <c:pt idx="17">
                  <c:v>31</c:v>
                </c:pt>
                <c:pt idx="18">
                  <c:v>32</c:v>
                </c:pt>
                <c:pt idx="19">
                  <c:v>33</c:v>
                </c:pt>
                <c:pt idx="20">
                  <c:v>34</c:v>
                </c:pt>
                <c:pt idx="21">
                  <c:v>35</c:v>
                </c:pt>
                <c:pt idx="22">
                  <c:v>36</c:v>
                </c:pt>
                <c:pt idx="23">
                  <c:v>37</c:v>
                </c:pt>
                <c:pt idx="24">
                  <c:v>38</c:v>
                </c:pt>
                <c:pt idx="25">
                  <c:v>39</c:v>
                </c:pt>
                <c:pt idx="26">
                  <c:v>40</c:v>
                </c:pt>
                <c:pt idx="27">
                  <c:v>41</c:v>
                </c:pt>
                <c:pt idx="28">
                  <c:v>42</c:v>
                </c:pt>
                <c:pt idx="29">
                  <c:v>43</c:v>
                </c:pt>
                <c:pt idx="30">
                  <c:v>45</c:v>
                </c:pt>
                <c:pt idx="31">
                  <c:v>46</c:v>
                </c:pt>
                <c:pt idx="32">
                  <c:v>57</c:v>
                </c:pt>
                <c:pt idx="33">
                  <c:v>59</c:v>
                </c:pt>
                <c:pt idx="34">
                  <c:v>60</c:v>
                </c:pt>
                <c:pt idx="35">
                  <c:v>67</c:v>
                </c:pt>
                <c:pt idx="36">
                  <c:v>79</c:v>
                </c:pt>
                <c:pt idx="37">
                  <c:v>85</c:v>
                </c:pt>
              </c:strCache>
            </c:strRef>
          </c:cat>
          <c:val>
            <c:numRef>
              <c:f>ProjectDuration!$B$5:$B$43</c:f>
              <c:numCache>
                <c:formatCode>General</c:formatCode>
                <c:ptCount val="38"/>
                <c:pt idx="0">
                  <c:v>54</c:v>
                </c:pt>
                <c:pt idx="1">
                  <c:v>34</c:v>
                </c:pt>
                <c:pt idx="2">
                  <c:v>18</c:v>
                </c:pt>
                <c:pt idx="3">
                  <c:v>20</c:v>
                </c:pt>
                <c:pt idx="4">
                  <c:v>17</c:v>
                </c:pt>
                <c:pt idx="5">
                  <c:v>16</c:v>
                </c:pt>
                <c:pt idx="6">
                  <c:v>37</c:v>
                </c:pt>
                <c:pt idx="7">
                  <c:v>73</c:v>
                </c:pt>
                <c:pt idx="8">
                  <c:v>28</c:v>
                </c:pt>
                <c:pt idx="9">
                  <c:v>29</c:v>
                </c:pt>
                <c:pt idx="10">
                  <c:v>26</c:v>
                </c:pt>
                <c:pt idx="11">
                  <c:v>46</c:v>
                </c:pt>
                <c:pt idx="12">
                  <c:v>15</c:v>
                </c:pt>
                <c:pt idx="13">
                  <c:v>26</c:v>
                </c:pt>
                <c:pt idx="14">
                  <c:v>58</c:v>
                </c:pt>
                <c:pt idx="15">
                  <c:v>51</c:v>
                </c:pt>
                <c:pt idx="16">
                  <c:v>813</c:v>
                </c:pt>
                <c:pt idx="17">
                  <c:v>99</c:v>
                </c:pt>
                <c:pt idx="18">
                  <c:v>52</c:v>
                </c:pt>
                <c:pt idx="19">
                  <c:v>40</c:v>
                </c:pt>
                <c:pt idx="20">
                  <c:v>29</c:v>
                </c:pt>
                <c:pt idx="21">
                  <c:v>71</c:v>
                </c:pt>
                <c:pt idx="22">
                  <c:v>29</c:v>
                </c:pt>
                <c:pt idx="23">
                  <c:v>26</c:v>
                </c:pt>
                <c:pt idx="24">
                  <c:v>18</c:v>
                </c:pt>
                <c:pt idx="25">
                  <c:v>14</c:v>
                </c:pt>
                <c:pt idx="26">
                  <c:v>44</c:v>
                </c:pt>
                <c:pt idx="27">
                  <c:v>9</c:v>
                </c:pt>
                <c:pt idx="28">
                  <c:v>15</c:v>
                </c:pt>
                <c:pt idx="29">
                  <c:v>10</c:v>
                </c:pt>
                <c:pt idx="30">
                  <c:v>72</c:v>
                </c:pt>
                <c:pt idx="31">
                  <c:v>13</c:v>
                </c:pt>
                <c:pt idx="32">
                  <c:v>8</c:v>
                </c:pt>
                <c:pt idx="33">
                  <c:v>10</c:v>
                </c:pt>
                <c:pt idx="34">
                  <c:v>112</c:v>
                </c:pt>
                <c:pt idx="35">
                  <c:v>3</c:v>
                </c:pt>
                <c:pt idx="36">
                  <c:v>1</c:v>
                </c:pt>
                <c:pt idx="3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FB-8D4F-9EEB-EFCEBF8ABC05}"/>
            </c:ext>
          </c:extLst>
        </c:ser>
        <c:ser>
          <c:idx val="1"/>
          <c:order val="1"/>
          <c:tx>
            <c:strRef>
              <c:f>ProjectDuration!$C$3:$C$4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ProjectDuration!$A$5:$A$43</c:f>
              <c:strCache>
                <c:ptCount val="38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  <c:pt idx="10">
                  <c:v>24</c:v>
                </c:pt>
                <c:pt idx="11">
                  <c:v>25</c:v>
                </c:pt>
                <c:pt idx="12">
                  <c:v>26</c:v>
                </c:pt>
                <c:pt idx="13">
                  <c:v>27</c:v>
                </c:pt>
                <c:pt idx="14">
                  <c:v>28</c:v>
                </c:pt>
                <c:pt idx="15">
                  <c:v>29</c:v>
                </c:pt>
                <c:pt idx="16">
                  <c:v>30</c:v>
                </c:pt>
                <c:pt idx="17">
                  <c:v>31</c:v>
                </c:pt>
                <c:pt idx="18">
                  <c:v>32</c:v>
                </c:pt>
                <c:pt idx="19">
                  <c:v>33</c:v>
                </c:pt>
                <c:pt idx="20">
                  <c:v>34</c:v>
                </c:pt>
                <c:pt idx="21">
                  <c:v>35</c:v>
                </c:pt>
                <c:pt idx="22">
                  <c:v>36</c:v>
                </c:pt>
                <c:pt idx="23">
                  <c:v>37</c:v>
                </c:pt>
                <c:pt idx="24">
                  <c:v>38</c:v>
                </c:pt>
                <c:pt idx="25">
                  <c:v>39</c:v>
                </c:pt>
                <c:pt idx="26">
                  <c:v>40</c:v>
                </c:pt>
                <c:pt idx="27">
                  <c:v>41</c:v>
                </c:pt>
                <c:pt idx="28">
                  <c:v>42</c:v>
                </c:pt>
                <c:pt idx="29">
                  <c:v>43</c:v>
                </c:pt>
                <c:pt idx="30">
                  <c:v>45</c:v>
                </c:pt>
                <c:pt idx="31">
                  <c:v>46</c:v>
                </c:pt>
                <c:pt idx="32">
                  <c:v>57</c:v>
                </c:pt>
                <c:pt idx="33">
                  <c:v>59</c:v>
                </c:pt>
                <c:pt idx="34">
                  <c:v>60</c:v>
                </c:pt>
                <c:pt idx="35">
                  <c:v>67</c:v>
                </c:pt>
                <c:pt idx="36">
                  <c:v>79</c:v>
                </c:pt>
                <c:pt idx="37">
                  <c:v>85</c:v>
                </c:pt>
              </c:strCache>
            </c:strRef>
          </c:cat>
          <c:val>
            <c:numRef>
              <c:f>ProjectDuration!$C$5:$C$43</c:f>
              <c:numCache>
                <c:formatCode>General</c:formatCode>
                <c:ptCount val="38"/>
                <c:pt idx="0">
                  <c:v>16</c:v>
                </c:pt>
                <c:pt idx="1">
                  <c:v>22</c:v>
                </c:pt>
                <c:pt idx="2">
                  <c:v>3</c:v>
                </c:pt>
                <c:pt idx="3">
                  <c:v>6</c:v>
                </c:pt>
                <c:pt idx="4">
                  <c:v>7</c:v>
                </c:pt>
                <c:pt idx="5">
                  <c:v>4</c:v>
                </c:pt>
                <c:pt idx="6">
                  <c:v>27</c:v>
                </c:pt>
                <c:pt idx="7">
                  <c:v>20</c:v>
                </c:pt>
                <c:pt idx="8">
                  <c:v>11</c:v>
                </c:pt>
                <c:pt idx="9">
                  <c:v>11</c:v>
                </c:pt>
                <c:pt idx="10">
                  <c:v>8</c:v>
                </c:pt>
                <c:pt idx="11">
                  <c:v>22</c:v>
                </c:pt>
                <c:pt idx="12">
                  <c:v>4</c:v>
                </c:pt>
                <c:pt idx="13">
                  <c:v>5</c:v>
                </c:pt>
                <c:pt idx="14">
                  <c:v>22</c:v>
                </c:pt>
                <c:pt idx="15">
                  <c:v>23</c:v>
                </c:pt>
                <c:pt idx="16">
                  <c:v>733</c:v>
                </c:pt>
                <c:pt idx="17">
                  <c:v>41</c:v>
                </c:pt>
                <c:pt idx="18">
                  <c:v>25</c:v>
                </c:pt>
                <c:pt idx="19">
                  <c:v>12</c:v>
                </c:pt>
                <c:pt idx="20">
                  <c:v>14</c:v>
                </c:pt>
                <c:pt idx="21">
                  <c:v>24</c:v>
                </c:pt>
                <c:pt idx="22">
                  <c:v>6</c:v>
                </c:pt>
                <c:pt idx="23">
                  <c:v>11</c:v>
                </c:pt>
                <c:pt idx="24">
                  <c:v>10</c:v>
                </c:pt>
                <c:pt idx="25">
                  <c:v>3</c:v>
                </c:pt>
                <c:pt idx="26">
                  <c:v>38</c:v>
                </c:pt>
                <c:pt idx="27">
                  <c:v>8</c:v>
                </c:pt>
                <c:pt idx="28">
                  <c:v>14</c:v>
                </c:pt>
                <c:pt idx="29">
                  <c:v>6</c:v>
                </c:pt>
                <c:pt idx="30">
                  <c:v>58</c:v>
                </c:pt>
                <c:pt idx="31">
                  <c:v>7</c:v>
                </c:pt>
                <c:pt idx="32">
                  <c:v>2</c:v>
                </c:pt>
                <c:pt idx="33">
                  <c:v>11</c:v>
                </c:pt>
                <c:pt idx="34">
                  <c:v>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FB-8D4F-9EEB-EFCEBF8AB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6332032"/>
        <c:axId val="1186897936"/>
      </c:lineChart>
      <c:catAx>
        <c:axId val="856332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Pro</a:t>
                </a:r>
                <a:r>
                  <a:rPr lang="en-US" sz="1000" b="1" baseline="0"/>
                  <a:t>ject Duration</a:t>
                </a:r>
                <a:endParaRPr lang="en-US" sz="1000" b="1"/>
              </a:p>
            </c:rich>
          </c:tx>
          <c:layout>
            <c:manualLayout>
              <c:xMode val="edge"/>
              <c:yMode val="edge"/>
              <c:x val="0.37062681842096984"/>
              <c:y val="0.947204724409448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897936"/>
        <c:crosses val="autoZero"/>
        <c:auto val="1"/>
        <c:lblAlgn val="ctr"/>
        <c:lblOffset val="100"/>
        <c:noMultiLvlLbl val="0"/>
      </c:catAx>
      <c:valAx>
        <c:axId val="118689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Number</a:t>
                </a:r>
                <a:r>
                  <a:rPr lang="en-US" sz="1000" b="1" baseline="0"/>
                  <a:t> of Projects</a:t>
                </a:r>
                <a:endParaRPr lang="en-US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633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237280436099331"/>
          <c:y val="0.2223088444855886"/>
          <c:w val="0.16460276600040377"/>
          <c:h val="9.26757091294895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[StarterBook.xlsx]Pvt_Chrt_Country!PivotTable18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Projects</a:t>
            </a:r>
            <a:r>
              <a:rPr lang="en-US" sz="1200" b="1" baseline="0"/>
              <a:t> Per Country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1122198667474258"/>
          <c:y val="9.2593939018919297E-2"/>
          <c:w val="0.81755737263611283"/>
          <c:h val="0.740751037763529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Pvt_Chrt_Country!$B$3:$B$4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Pvt_Chrt_Country!$A$5:$A$20</c:f>
              <c:strCache>
                <c:ptCount val="15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DE</c:v>
                </c:pt>
                <c:pt idx="4">
                  <c:v>AU</c:v>
                </c:pt>
                <c:pt idx="5">
                  <c:v>ES</c:v>
                </c:pt>
                <c:pt idx="6">
                  <c:v>FR</c:v>
                </c:pt>
                <c:pt idx="7">
                  <c:v>IE</c:v>
                </c:pt>
                <c:pt idx="8">
                  <c:v>SE</c:v>
                </c:pt>
                <c:pt idx="9">
                  <c:v>IT</c:v>
                </c:pt>
                <c:pt idx="10">
                  <c:v>DK</c:v>
                </c:pt>
                <c:pt idx="11">
                  <c:v>NZ</c:v>
                </c:pt>
                <c:pt idx="12">
                  <c:v>AT</c:v>
                </c:pt>
                <c:pt idx="13">
                  <c:v>LU</c:v>
                </c:pt>
                <c:pt idx="14">
                  <c:v>NO</c:v>
                </c:pt>
              </c:strCache>
            </c:strRef>
          </c:cat>
          <c:val>
            <c:numRef>
              <c:f>Pvt_Chrt_Country!$B$5:$B$20</c:f>
              <c:numCache>
                <c:formatCode>General</c:formatCode>
                <c:ptCount val="15"/>
                <c:pt idx="0">
                  <c:v>1651</c:v>
                </c:pt>
                <c:pt idx="1">
                  <c:v>366</c:v>
                </c:pt>
                <c:pt idx="2">
                  <c:v>64</c:v>
                </c:pt>
                <c:pt idx="3">
                  <c:v>23</c:v>
                </c:pt>
                <c:pt idx="4">
                  <c:v>19</c:v>
                </c:pt>
                <c:pt idx="5">
                  <c:v>11</c:v>
                </c:pt>
                <c:pt idx="6">
                  <c:v>10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  <c:pt idx="10">
                  <c:v>4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93-7B45-B664-8AFACB16E2A1}"/>
            </c:ext>
          </c:extLst>
        </c:ser>
        <c:ser>
          <c:idx val="1"/>
          <c:order val="1"/>
          <c:tx>
            <c:strRef>
              <c:f>Pvt_Chrt_Country!$C$3:$C$4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Pvt_Chrt_Country!$A$5:$A$20</c:f>
              <c:strCache>
                <c:ptCount val="15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DE</c:v>
                </c:pt>
                <c:pt idx="4">
                  <c:v>AU</c:v>
                </c:pt>
                <c:pt idx="5">
                  <c:v>ES</c:v>
                </c:pt>
                <c:pt idx="6">
                  <c:v>FR</c:v>
                </c:pt>
                <c:pt idx="7">
                  <c:v>IE</c:v>
                </c:pt>
                <c:pt idx="8">
                  <c:v>SE</c:v>
                </c:pt>
                <c:pt idx="9">
                  <c:v>IT</c:v>
                </c:pt>
                <c:pt idx="10">
                  <c:v>DK</c:v>
                </c:pt>
                <c:pt idx="11">
                  <c:v>NZ</c:v>
                </c:pt>
                <c:pt idx="12">
                  <c:v>AT</c:v>
                </c:pt>
                <c:pt idx="13">
                  <c:v>LU</c:v>
                </c:pt>
                <c:pt idx="14">
                  <c:v>NO</c:v>
                </c:pt>
              </c:strCache>
            </c:strRef>
          </c:cat>
          <c:val>
            <c:numRef>
              <c:f>Pvt_Chrt_Country!$C$5:$C$20</c:f>
              <c:numCache>
                <c:formatCode>General</c:formatCode>
                <c:ptCount val="15"/>
                <c:pt idx="0">
                  <c:v>1097</c:v>
                </c:pt>
                <c:pt idx="1">
                  <c:v>205</c:v>
                </c:pt>
                <c:pt idx="2">
                  <c:v>64</c:v>
                </c:pt>
                <c:pt idx="3">
                  <c:v>27</c:v>
                </c:pt>
                <c:pt idx="4">
                  <c:v>41</c:v>
                </c:pt>
                <c:pt idx="5">
                  <c:v>9</c:v>
                </c:pt>
                <c:pt idx="6">
                  <c:v>10</c:v>
                </c:pt>
                <c:pt idx="7">
                  <c:v>4</c:v>
                </c:pt>
                <c:pt idx="8">
                  <c:v>9</c:v>
                </c:pt>
                <c:pt idx="9">
                  <c:v>19</c:v>
                </c:pt>
                <c:pt idx="10">
                  <c:v>6</c:v>
                </c:pt>
                <c:pt idx="11">
                  <c:v>5</c:v>
                </c:pt>
                <c:pt idx="12">
                  <c:v>2</c:v>
                </c:pt>
                <c:pt idx="1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93-7B45-B664-8AFACB16E2A1}"/>
            </c:ext>
          </c:extLst>
        </c:ser>
        <c:ser>
          <c:idx val="2"/>
          <c:order val="2"/>
          <c:tx>
            <c:strRef>
              <c:f>Pvt_Chrt_Country!$D$3:$D$4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Pvt_Chrt_Country!$A$5:$A$20</c:f>
              <c:strCache>
                <c:ptCount val="15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DE</c:v>
                </c:pt>
                <c:pt idx="4">
                  <c:v>AU</c:v>
                </c:pt>
                <c:pt idx="5">
                  <c:v>ES</c:v>
                </c:pt>
                <c:pt idx="6">
                  <c:v>FR</c:v>
                </c:pt>
                <c:pt idx="7">
                  <c:v>IE</c:v>
                </c:pt>
                <c:pt idx="8">
                  <c:v>SE</c:v>
                </c:pt>
                <c:pt idx="9">
                  <c:v>IT</c:v>
                </c:pt>
                <c:pt idx="10">
                  <c:v>DK</c:v>
                </c:pt>
                <c:pt idx="11">
                  <c:v>NZ</c:v>
                </c:pt>
                <c:pt idx="12">
                  <c:v>AT</c:v>
                </c:pt>
                <c:pt idx="13">
                  <c:v>LU</c:v>
                </c:pt>
                <c:pt idx="14">
                  <c:v>NO</c:v>
                </c:pt>
              </c:strCache>
            </c:strRef>
          </c:cat>
          <c:val>
            <c:numRef>
              <c:f>Pvt_Chrt_Country!$D$5:$D$20</c:f>
              <c:numCache>
                <c:formatCode>General</c:formatCode>
                <c:ptCount val="15"/>
                <c:pt idx="0">
                  <c:v>257</c:v>
                </c:pt>
                <c:pt idx="1">
                  <c:v>25</c:v>
                </c:pt>
                <c:pt idx="2">
                  <c:v>17</c:v>
                </c:pt>
                <c:pt idx="3">
                  <c:v>3</c:v>
                </c:pt>
                <c:pt idx="4">
                  <c:v>14</c:v>
                </c:pt>
                <c:pt idx="5">
                  <c:v>1</c:v>
                </c:pt>
                <c:pt idx="6">
                  <c:v>5</c:v>
                </c:pt>
                <c:pt idx="7">
                  <c:v>2</c:v>
                </c:pt>
                <c:pt idx="8">
                  <c:v>5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93-7B45-B664-8AFACB16E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8435216"/>
        <c:axId val="868591856"/>
      </c:barChart>
      <c:catAx>
        <c:axId val="868435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Country</a:t>
                </a:r>
              </a:p>
            </c:rich>
          </c:tx>
          <c:layout>
            <c:manualLayout>
              <c:xMode val="edge"/>
              <c:yMode val="edge"/>
              <c:x val="0.44168572805950279"/>
              <c:y val="0.91771517259181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591856"/>
        <c:crosses val="autoZero"/>
        <c:auto val="1"/>
        <c:lblAlgn val="ctr"/>
        <c:lblOffset val="100"/>
        <c:noMultiLvlLbl val="0"/>
      </c:catAx>
      <c:valAx>
        <c:axId val="86859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/>
                  <a:t>Number</a:t>
                </a:r>
                <a:r>
                  <a:rPr lang="en-US" sz="1000" b="1" baseline="0"/>
                  <a:t> of Projects</a:t>
                </a:r>
                <a:endParaRPr lang="en-US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43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262029746281711"/>
          <c:y val="0.20309107972505405"/>
          <c:w val="0.10173867689615722"/>
          <c:h val="0.153902974800055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Paulina</dc:creator>
  <cp:keywords/>
  <dc:description/>
  <cp:lastModifiedBy>Paul, Paulina</cp:lastModifiedBy>
  <cp:revision>131</cp:revision>
  <dcterms:created xsi:type="dcterms:W3CDTF">2018-10-06T02:00:00Z</dcterms:created>
  <dcterms:modified xsi:type="dcterms:W3CDTF">2018-10-06T07:41:00Z</dcterms:modified>
</cp:coreProperties>
</file>