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954" w:rsidP="1A41B4AD" w:rsidRDefault="1A41B4AD" w14:paraId="5A75CEA8" w14:textId="6753D633">
      <w:r>
        <w:t>Chauveau Pauline – Gaillard Thibault – Zeller Ghislain</w:t>
      </w:r>
    </w:p>
    <w:p w:rsidR="00435954" w:rsidP="1A41B4AD" w:rsidRDefault="1A41B4AD" w14:paraId="66499850" w14:textId="4AFCC6FB">
      <w:r>
        <w:t xml:space="preserve">Master 1 de Mathématiques Appliquées </w:t>
      </w:r>
    </w:p>
    <w:p w:rsidR="00435954" w:rsidP="1A41B4AD" w:rsidRDefault="1A41B4AD" w14:paraId="35E5FFBD" w14:textId="6B16CE80">
      <w:r>
        <w:t xml:space="preserve">Université Paris-Dauphine </w:t>
      </w:r>
    </w:p>
    <w:p w:rsidR="00435954" w:rsidP="1A41B4AD" w:rsidRDefault="00435954" w14:paraId="0D605735" w14:textId="779E1A7E"/>
    <w:p w:rsidR="00435954" w:rsidP="71C6C50A" w:rsidRDefault="1A41B4AD" w14:paraId="644AC420" w14:textId="745695C3">
      <w:pPr>
        <w:ind w:left="2832"/>
        <w:rPr>
          <w:b/>
          <w:bCs/>
          <w:u w:val="single"/>
        </w:rPr>
      </w:pPr>
      <w:r w:rsidRPr="71C6C50A">
        <w:rPr>
          <w:b/>
          <w:u w:val="single"/>
        </w:rPr>
        <w:t xml:space="preserve">DEVOIR MAISON DE COMPTABILITE </w:t>
      </w:r>
      <w:r>
        <w:tab/>
      </w:r>
    </w:p>
    <w:p w:rsidR="00435954" w:rsidP="71C6C50A" w:rsidRDefault="1A41B4AD" w14:paraId="20A9BCBE" w14:textId="4A328DCC">
      <w:pPr>
        <w:ind w:left="2832"/>
      </w:pPr>
      <w:r w:rsidRPr="1A41B4AD">
        <w:rPr>
          <w:b/>
          <w:bCs/>
        </w:rPr>
        <w:t xml:space="preserve"> </w:t>
      </w:r>
    </w:p>
    <w:p w:rsidR="00435954" w:rsidP="55FDC090" w:rsidRDefault="003F74C2" w14:paraId="03C360C9" w14:textId="6EF990D5">
      <w:pPr>
        <w:pStyle w:val="Paragraphedeliste"/>
        <w:numPr>
          <w:ilvl w:val="0"/>
          <w:numId w:val="9"/>
        </w:numPr>
        <w:rPr>
          <w:rFonts w:eastAsiaTheme="minorEastAsia"/>
          <w:b/>
          <w:u w:val="single"/>
        </w:rPr>
      </w:pPr>
      <w:r w:rsidRPr="565EAC00">
        <w:rPr>
          <w:b/>
          <w:u w:val="single"/>
        </w:rPr>
        <w:t>Présentation de l’entreprise, de son activité et de son contexte</w:t>
      </w:r>
    </w:p>
    <w:p w:rsidR="003F74C2" w:rsidP="003F74C2" w:rsidRDefault="003F74C2" w14:paraId="56AD9D2A" w14:textId="376E91B3">
      <w:r>
        <w:t>Levi Strauss &amp; Co est une entreprise américaine de vêtements de marques fondée en 1853</w:t>
      </w:r>
      <w:r w:rsidR="00341A91">
        <w:t xml:space="preserve"> par M. Levi Strauss</w:t>
      </w:r>
      <w:r>
        <w:t xml:space="preserve"> à San Francisco. </w:t>
      </w:r>
      <w:r w:rsidR="00341A91">
        <w:t xml:space="preserve">Elle </w:t>
      </w:r>
      <w:r w:rsidRPr="00341A91" w:rsidR="00341A91">
        <w:t>doit sa notoriété à la commercialisation de ses célèbres</w:t>
      </w:r>
      <w:r w:rsidR="00F9143A">
        <w:t xml:space="preserve"> </w:t>
      </w:r>
      <w:r w:rsidRPr="00F9143A" w:rsidR="00F9143A">
        <w:rPr>
          <w:i/>
          <w:iCs/>
        </w:rPr>
        <w:t>blue-</w:t>
      </w:r>
      <w:r w:rsidRPr="00F9143A" w:rsidR="00341A91">
        <w:rPr>
          <w:i/>
          <w:iCs/>
        </w:rPr>
        <w:t>jeans</w:t>
      </w:r>
      <w:r w:rsidRPr="00341A91" w:rsidR="00341A91">
        <w:t xml:space="preserve">, notamment le </w:t>
      </w:r>
      <w:proofErr w:type="spellStart"/>
      <w:r w:rsidRPr="00F9143A" w:rsidR="00F9143A">
        <w:rPr>
          <w:i/>
          <w:iCs/>
        </w:rPr>
        <w:t>Levi’s</w:t>
      </w:r>
      <w:proofErr w:type="spellEnd"/>
      <w:r w:rsidRPr="00F9143A" w:rsidR="00F9143A">
        <w:rPr>
          <w:i/>
          <w:iCs/>
        </w:rPr>
        <w:t xml:space="preserve"> </w:t>
      </w:r>
      <w:r w:rsidRPr="00F9143A" w:rsidR="00341A91">
        <w:rPr>
          <w:i/>
          <w:iCs/>
        </w:rPr>
        <w:t>501</w:t>
      </w:r>
      <w:r w:rsidR="00F9143A">
        <w:t xml:space="preserve">, </w:t>
      </w:r>
      <w:r w:rsidR="00B55D19">
        <w:t xml:space="preserve">pantalon en tissu résistant </w:t>
      </w:r>
      <w:r w:rsidR="00F9143A">
        <w:t>qui éta</w:t>
      </w:r>
      <w:r w:rsidR="00B55D19">
        <w:t>it</w:t>
      </w:r>
      <w:r w:rsidR="00F9143A">
        <w:t xml:space="preserve"> particulièrement recherch</w:t>
      </w:r>
      <w:r w:rsidR="0037792C">
        <w:t>é par les chercheurs d’or durant la période de Ruée vers l’or</w:t>
      </w:r>
      <w:r w:rsidR="008E0133">
        <w:t xml:space="preserve"> aux Etats-Unis. </w:t>
      </w:r>
      <w:r w:rsidR="0024441F">
        <w:t xml:space="preserve">Aujourd’hui, la compagnie se positionne comme leader mondial du </w:t>
      </w:r>
      <w:proofErr w:type="spellStart"/>
      <w:r w:rsidRPr="008A4817" w:rsidR="0024441F">
        <w:rPr>
          <w:i/>
          <w:iCs/>
        </w:rPr>
        <w:t>jeanswears</w:t>
      </w:r>
      <w:proofErr w:type="spellEnd"/>
      <w:r w:rsidR="0024441F">
        <w:t xml:space="preserve"> et comme l’une des plus grandes marques de prêt-à-porter au monde.</w:t>
      </w:r>
    </w:p>
    <w:p w:rsidR="009945A8" w:rsidP="003F74C2" w:rsidRDefault="003975B3" w14:paraId="5CDA2B1C" w14:textId="7BA5EEF1">
      <w:r>
        <w:t xml:space="preserve">Au départ, Levi Strauss &amp; Co était un grossiste de produits </w:t>
      </w:r>
      <w:r w:rsidR="00670AD3">
        <w:t>non périssables</w:t>
      </w:r>
      <w:r>
        <w:t>. Constatant le besoin d’un pantalon de travail résistant</w:t>
      </w:r>
      <w:r w:rsidR="00670AD3">
        <w:t xml:space="preserve"> conçus pour durer</w:t>
      </w:r>
      <w:r>
        <w:t>,</w:t>
      </w:r>
      <w:r w:rsidR="009945A8">
        <w:t xml:space="preserve"> Levi Strauss</w:t>
      </w:r>
      <w:r>
        <w:t xml:space="preserve"> crée avec Jacob Davi</w:t>
      </w:r>
      <w:r w:rsidR="009945A8">
        <w:t>s en 1873, le premier jean.  Dès le début, il souhaite placer sa marque dans le secteur haut de gamme.</w:t>
      </w:r>
      <w:r w:rsidR="008A4817">
        <w:t xml:space="preserve"> A partir de 1980, avec le lancement du jean, l’entreprise change radicalement.</w:t>
      </w:r>
      <w:r w:rsidRPr="007F5E42" w:rsidR="007F5E42">
        <w:t xml:space="preserve"> </w:t>
      </w:r>
      <w:r w:rsidR="007F5E42">
        <w:t xml:space="preserve">Depuis 1886, une étiquette en cuir est systématiquement présente à l'arrière du pantalon. On y voit deux chevaux tirant, chacun dans la direction opposée, un </w:t>
      </w:r>
      <w:r w:rsidR="00670AD3">
        <w:t>jean,</w:t>
      </w:r>
      <w:r w:rsidR="007F5E42">
        <w:t xml:space="preserve"> </w:t>
      </w:r>
      <w:r w:rsidR="00670AD3">
        <w:t>afin d’illustrer</w:t>
      </w:r>
      <w:r w:rsidR="007F5E42">
        <w:t xml:space="preserve"> la </w:t>
      </w:r>
      <w:r w:rsidR="00670AD3">
        <w:t>robustesse</w:t>
      </w:r>
      <w:r w:rsidR="007F5E42">
        <w:t xml:space="preserve"> du jean. </w:t>
      </w:r>
    </w:p>
    <w:p w:rsidR="00BC3048" w:rsidP="002C381D" w:rsidRDefault="002C381D" w14:paraId="2A9A1222" w14:textId="799C9D4E">
      <w:r>
        <w:t xml:space="preserve">En 1971, la société entre en bourse. A l’époque, c'est l'une des plus importantes cotations de l'histoire. Mais en 1984, les descendants de Levi Strauss privatisent l'entreprise en rachetant toutes les </w:t>
      </w:r>
      <w:r w:rsidR="33E0AE5B">
        <w:t>parts</w:t>
      </w:r>
      <w:r w:rsidR="3885E9C4">
        <w:t>.</w:t>
      </w:r>
      <w:r>
        <w:t xml:space="preserve"> Elle n'a été réintroduite en bourse qu</w:t>
      </w:r>
      <w:r w:rsidR="00D76CAB">
        <w:t xml:space="preserve">’en </w:t>
      </w:r>
      <w:r>
        <w:t xml:space="preserve">mars 2019, sous le nom " LEVI ". La marque a </w:t>
      </w:r>
      <w:r w:rsidR="00BC3048">
        <w:t xml:space="preserve">alors </w:t>
      </w:r>
      <w:r>
        <w:t>bénéficié d</w:t>
      </w:r>
      <w:r w:rsidR="00BC3048">
        <w:t xml:space="preserve">’un </w:t>
      </w:r>
      <w:r>
        <w:t xml:space="preserve">regain d'intérêt </w:t>
      </w:r>
      <w:r w:rsidR="00BC3048">
        <w:t>par les</w:t>
      </w:r>
      <w:r>
        <w:t xml:space="preserve"> consommateur</w:t>
      </w:r>
      <w:r w:rsidR="00BC3048">
        <w:t>s</w:t>
      </w:r>
      <w:r>
        <w:t xml:space="preserve">, avec des ventes en hausse. </w:t>
      </w:r>
      <w:r w:rsidR="00BC3048">
        <w:t xml:space="preserve"> De plus, lors de son premier jour de cotation, le prix de l’action </w:t>
      </w:r>
      <w:r w:rsidRPr="00BC3048" w:rsidR="00BC3048">
        <w:rPr>
          <w:i/>
          <w:iCs/>
        </w:rPr>
        <w:t>LEVI</w:t>
      </w:r>
      <w:r w:rsidR="00BC3048">
        <w:rPr>
          <w:i/>
          <w:iCs/>
        </w:rPr>
        <w:t xml:space="preserve"> </w:t>
      </w:r>
      <w:r w:rsidR="00BC3048">
        <w:t xml:space="preserve">a augmenté de 32%, </w:t>
      </w:r>
      <w:r w:rsidR="00100889">
        <w:t>augmentant</w:t>
      </w:r>
      <w:r w:rsidR="00BC3048">
        <w:t xml:space="preserve"> donc la valeur </w:t>
      </w:r>
      <w:r w:rsidR="00100889">
        <w:t>boursière de l’entreprise de près de 2 milliards d’euros.</w:t>
      </w:r>
    </w:p>
    <w:p w:rsidRPr="00BC3048" w:rsidR="00B20AB3" w:rsidP="002C381D" w:rsidRDefault="00B20AB3" w14:paraId="74FFC852" w14:textId="77777777"/>
    <w:p w:rsidR="00B20AB3" w:rsidP="44BF546D" w:rsidRDefault="00B20AB3" w14:paraId="7498A8E4" w14:textId="6EF990D5">
      <w:pPr>
        <w:pStyle w:val="Paragraphedeliste"/>
        <w:numPr>
          <w:ilvl w:val="0"/>
          <w:numId w:val="9"/>
        </w:numPr>
        <w:rPr>
          <w:b/>
          <w:u w:val="single"/>
        </w:rPr>
      </w:pPr>
      <w:r w:rsidRPr="565EAC00">
        <w:rPr>
          <w:b/>
          <w:u w:val="single"/>
        </w:rPr>
        <w:t>Analyse des principaux SIG de l’entreprise et de leur évolution récente</w:t>
      </w:r>
    </w:p>
    <w:p w:rsidR="45BA9E92" w:rsidP="45BA9E92" w:rsidRDefault="45BA9E92" w14:paraId="1E57FB6E" w14:textId="3F3FD276">
      <w:r>
        <w:t>Nous avons voulu décomposer notre analyse à travers les soldes intermédiaires de gestion, qui présentent les principaux indicateurs de performance :</w:t>
      </w:r>
    </w:p>
    <w:p w:rsidR="45BA9E92" w:rsidP="45BA9E92" w:rsidRDefault="45BA9E92" w14:paraId="4CC5F8E4" w14:textId="3C36D4AE">
      <w:r>
        <w:t>-le chiffre d’affaire</w:t>
      </w:r>
      <w:r w:rsidR="00346F70">
        <w:t>s</w:t>
      </w:r>
      <w:r>
        <w:t xml:space="preserve"> (CA), c’est à dire la somme des ventes et des produits de l’entreprise : </w:t>
      </w:r>
      <m:oMath>
        <m:r>
          <w:rPr>
            <w:rFonts w:ascii="Cambria Math" w:hAnsi="Cambria Math"/>
          </w:rPr>
          <m:t>CA= </m:t>
        </m:r>
      </m:oMath>
      <w:r>
        <w:t xml:space="preserve"> </w:t>
      </w:r>
      <m:oMath>
        <m:r>
          <w:rPr>
            <w:rFonts w:ascii="Cambria Math" w:hAnsi="Cambria Math"/>
          </w:rPr>
          <m:t>prix de vente ×quantité vendue </m:t>
        </m:r>
      </m:oMath>
    </w:p>
    <w:p w:rsidR="45BA9E92" w:rsidP="45BA9E92" w:rsidRDefault="45BA9E92" w14:paraId="0881B2BE" w14:textId="300008E5">
      <w:r>
        <w:t xml:space="preserve">-la valeur ajoutée (VA) : </w:t>
      </w:r>
      <m:oMath>
        <m:r>
          <w:rPr>
            <w:rFonts w:ascii="Cambria Math" w:hAnsi="Cambria Math"/>
          </w:rPr>
          <m:t>VA=CA HT-c</m:t>
        </m:r>
        <m:r>
          <m:rPr>
            <m:nor/>
          </m:rPr>
          <w:rPr>
            <w:rFonts w:ascii="Cambria Math" w:hAnsi="Cambria Math"/>
            <w:i/>
          </w:rPr>
          <m:t>harges</m:t>
        </m:r>
        <m:r>
          <w:rPr>
            <w:rFonts w:ascii="Cambria Math" w:hAnsi="Cambria Math"/>
          </w:rPr>
          <m:t> directes</m:t>
        </m:r>
      </m:oMath>
      <w:r>
        <w:t xml:space="preserve">, est la marge globale réalisée par l’entreprise. </w:t>
      </w:r>
    </w:p>
    <w:p w:rsidR="45BA9E92" w:rsidP="45BA9E92" w:rsidRDefault="45BA9E92" w14:paraId="3F0661B1" w14:textId="68C00AD2">
      <w:r>
        <w:t>-l’EBITDA (</w:t>
      </w:r>
      <w:proofErr w:type="spellStart"/>
      <w:r w:rsidRPr="45BA9E92">
        <w:rPr>
          <w:i/>
          <w:iCs/>
        </w:rPr>
        <w:t>Earnings</w:t>
      </w:r>
      <w:proofErr w:type="spellEnd"/>
      <w:r w:rsidRPr="45BA9E92">
        <w:rPr>
          <w:i/>
          <w:iCs/>
        </w:rPr>
        <w:t xml:space="preserve"> </w:t>
      </w:r>
      <w:proofErr w:type="spellStart"/>
      <w:r w:rsidRPr="45BA9E92">
        <w:rPr>
          <w:i/>
          <w:iCs/>
        </w:rPr>
        <w:t>before</w:t>
      </w:r>
      <w:proofErr w:type="spellEnd"/>
      <w:r w:rsidRPr="45BA9E92">
        <w:rPr>
          <w:i/>
          <w:iCs/>
        </w:rPr>
        <w:t xml:space="preserve"> </w:t>
      </w:r>
      <w:proofErr w:type="spellStart"/>
      <w:r w:rsidRPr="45BA9E92">
        <w:rPr>
          <w:i/>
          <w:iCs/>
        </w:rPr>
        <w:t>interest</w:t>
      </w:r>
      <w:proofErr w:type="spellEnd"/>
      <w:r w:rsidRPr="45BA9E92">
        <w:rPr>
          <w:i/>
          <w:iCs/>
        </w:rPr>
        <w:t xml:space="preserve">, taxes, </w:t>
      </w:r>
      <w:proofErr w:type="spellStart"/>
      <w:r w:rsidRPr="45BA9E92">
        <w:rPr>
          <w:i/>
          <w:iCs/>
        </w:rPr>
        <w:t>depreciation</w:t>
      </w:r>
      <w:proofErr w:type="spellEnd"/>
      <w:r w:rsidRPr="45BA9E92">
        <w:rPr>
          <w:i/>
          <w:iCs/>
        </w:rPr>
        <w:t xml:space="preserve"> and </w:t>
      </w:r>
      <w:proofErr w:type="spellStart"/>
      <w:r w:rsidRPr="45BA9E92">
        <w:rPr>
          <w:i/>
          <w:iCs/>
        </w:rPr>
        <w:t>amortization</w:t>
      </w:r>
      <w:proofErr w:type="spellEnd"/>
      <w:r>
        <w:t xml:space="preserve">) ou EBE en français :    </w:t>
      </w:r>
      <m:oMath>
        <m:r>
          <w:rPr>
            <w:rFonts w:ascii="Cambria Math" w:hAnsi="Cambria Math"/>
          </w:rPr>
          <m:t>EBITDA=CA HT-Achats et charges externes-Charges du personnel-Autres charges=VA - SG</m:t>
        </m:r>
        <m:r>
          <m:rPr>
            <m:lit/>
          </m:rPr>
          <w:rPr>
            <w:rFonts w:ascii="Cambria Math" w:hAnsi="Cambria Math"/>
          </w:rPr>
          <m:t>&amp;</m:t>
        </m:r>
        <m:r>
          <w:rPr>
            <w:rFonts w:ascii="Cambria Math" w:hAnsi="Cambria Math"/>
          </w:rPr>
          <m:t>A </m:t>
        </m:r>
      </m:oMath>
      <w:r>
        <w:t>. On note SG&amp;A (</w:t>
      </w:r>
      <w:r w:rsidRPr="45BA9E92">
        <w:rPr>
          <w:i/>
          <w:iCs/>
        </w:rPr>
        <w:t xml:space="preserve">sales, </w:t>
      </w:r>
      <w:proofErr w:type="spellStart"/>
      <w:r w:rsidRPr="45BA9E92">
        <w:rPr>
          <w:i/>
          <w:iCs/>
        </w:rPr>
        <w:t>general</w:t>
      </w:r>
      <w:proofErr w:type="spellEnd"/>
      <w:r w:rsidRPr="45BA9E92">
        <w:rPr>
          <w:i/>
          <w:iCs/>
        </w:rPr>
        <w:t xml:space="preserve"> and administration</w:t>
      </w:r>
      <w:r>
        <w:t xml:space="preserve">) les frais généraux et administratifs. </w:t>
      </w:r>
      <w:r w:rsidR="5EB3DFD3">
        <w:t>Concrètement, il représente la partie nette de l’exploitation.</w:t>
      </w:r>
    </w:p>
    <w:p w:rsidR="45BA9E92" w:rsidP="00A86BDF" w:rsidRDefault="45BA9E92" w14:paraId="5665063F" w14:textId="0781E77F">
      <w:r>
        <w:lastRenderedPageBreak/>
        <w:t xml:space="preserve">-l’EBIT correspondant au résultat d’exploitation, prenant en compte les provisions et amortissements. </w:t>
      </w:r>
      <m:oMath>
        <m:r>
          <w:rPr>
            <w:rFonts w:ascii="Cambria Math" w:hAnsi="Cambria Math"/>
          </w:rPr>
          <m:t>EBIT=EBITDA-dotations aux amortissements-provisions pour dépréciation d’actifs </m:t>
        </m:r>
      </m:oMath>
    </w:p>
    <w:p w:rsidR="45BA9E92" w:rsidP="45BA9E92" w:rsidRDefault="45BA9E92" w14:paraId="717D8ECE" w14:textId="63832312">
      <w:r>
        <w:t>-l’EBIAT</w:t>
      </w:r>
      <w:r w:rsidR="00133BEC">
        <w:t>/REAI</w:t>
      </w:r>
      <w:r>
        <w:t xml:space="preserve"> correspondant au résultat d’exploitation après impôt :</w:t>
      </w:r>
      <m:oMath>
        <m:r>
          <w:rPr>
            <w:rFonts w:ascii="Cambria Math" w:hAnsi="Cambria Math"/>
          </w:rPr>
          <m:t>EBIAT=EBIT-Impôts </m:t>
        </m:r>
      </m:oMath>
    </w:p>
    <w:p w:rsidR="45BA9E92" w:rsidP="45BA9E92" w:rsidRDefault="45BA9E92" w14:paraId="2136D9DD" w14:textId="2371AB73">
      <w:r>
        <w:t xml:space="preserve">-le Besoin en Fond de roulement (NWC ou BFR) : </w:t>
      </w:r>
      <m:oMath>
        <m:r>
          <w:rPr>
            <w:rFonts w:ascii="Cambria Math" w:hAnsi="Cambria Math"/>
          </w:rPr>
          <m:t>BFR=Actif Circulant-Passif Circulant </m:t>
        </m:r>
      </m:oMath>
    </w:p>
    <w:p w:rsidR="45BA9E92" w:rsidP="45BA9E92" w:rsidRDefault="45BA9E92" w14:paraId="70C1E2F6" w14:textId="3BCA40AA">
      <w:r>
        <w:t xml:space="preserve">-le rendement des capitaux propres : </w:t>
      </w:r>
      <m:oMath>
        <m:r>
          <w:rPr>
            <w:rFonts w:ascii="Cambria Math" w:hAnsi="Cambria Math"/>
          </w:rPr>
          <m:t>ROE= 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Résultat Net</m:t>
            </m:r>
          </m:num>
          <m:den>
            <m:r>
              <w:rPr>
                <w:rFonts w:ascii="Cambria Math" w:hAnsi="Cambria Math"/>
              </w:rPr>
              <m:t>Capitaux propres</m:t>
            </m:r>
          </m:den>
        </m:f>
      </m:oMath>
    </w:p>
    <w:p w:rsidR="00B20AB3" w:rsidP="00B20AB3" w:rsidRDefault="45BA9E92" w14:paraId="2F3A0F6E" w14:textId="6C5CE535">
      <w:r w:rsidR="45BA9E92">
        <w:rPr/>
        <w:t xml:space="preserve">Tous ces SIG convergent vers un constat flagrant : l’année 2020 a été une année “noire” pour </w:t>
      </w:r>
      <w:r w:rsidR="2E7D4595">
        <w:rPr/>
        <w:t>Levi</w:t>
      </w:r>
      <w:r w:rsidR="45BA9E92">
        <w:rPr/>
        <w:t>, puisque tous ces indicateurs sont au plus bas sur la période 2017-2021. Cela pourrait s’interpréter facilement du fait des retombées de la crise Covid.</w:t>
      </w:r>
    </w:p>
    <w:p w:rsidR="74076FC4" w:rsidP="74076FC4" w:rsidRDefault="74076FC4" w14:paraId="44CE861B" w14:textId="09BE39BB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𝐶𝐴𝐹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é</m:t>
          </m:r>
          <m:r xmlns:m="http://schemas.openxmlformats.org/officeDocument/2006/math">
            <m:t xmlns:m="http://schemas.openxmlformats.org/officeDocument/2006/math">𝑠𝑢𝑙𝑡𝑎𝑡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𝑛𝑒𝑡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𝑑𝑒</m:t>
          </m:r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𝑙</m:t>
              </m:r>
            </m:e>
            <m:sup>
              <m:r>
                <m:t>′</m:t>
              </m:r>
            </m:sup>
          </m:sSup>
          <m:r xmlns:m="http://schemas.openxmlformats.org/officeDocument/2006/math">
            <m:t xmlns:m="http://schemas.openxmlformats.org/officeDocument/2006/math">𝑒𝑥𝑒𝑟𝑐𝑖𝑐𝑒</m:t>
          </m:r>
          <m:r xmlns:m="http://schemas.openxmlformats.org/officeDocument/2006/math">
            <m:t xmlns:m="http://schemas.openxmlformats.org/officeDocument/2006/math"> +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/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𝑑𝑜𝑡𝑎𝑡𝑖𝑜𝑛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/</m:t>
          </m:r>
          <m:r xmlns:m="http://schemas.openxmlformats.org/officeDocument/2006/math">
            <m:t xmlns:m="http://schemas.openxmlformats.org/officeDocument/2006/math">𝑟𝑒𝑝𝑟𝑖𝑠𝑒𝑠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𝑎𝑢𝑥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𝑎𝑚𝑜𝑟𝑡𝑖𝑠𝑠𝑒𝑚𝑒𝑛𝑡𝑠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𝑒𝑡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𝑝𝑟𝑜𝑣𝑖𝑠𝑖𝑜𝑛𝑠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𝑣𝑎𝑙𝑒𝑢𝑟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𝑑𝑜𝑚𝑝𝑡𝑎𝑏𝑙𝑒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𝑑𝑒𝑠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𝑎𝑐𝑡𝑖𝑓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é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é</m:t>
          </m:r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𝑝𝑟𝑜𝑑𝑢𝑖𝑡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𝑑𝑒𝑠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𝑎𝑐𝑡𝑖𝑓𝑠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é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é</m:t>
          </m:r>
          <m:r xmlns:m="http://schemas.openxmlformats.org/officeDocument/2006/math">
            <m:t xmlns:m="http://schemas.openxmlformats.org/officeDocument/2006/math">𝑠</m:t>
          </m:r>
        </m:oMath>
      </m:oMathPara>
    </w:p>
    <w:p w:rsidRPr="008C2417" w:rsidR="008C2417" w:rsidP="62E408E5" w:rsidRDefault="00B20AB3" w14:paraId="118996A7" w14:textId="39C6D736">
      <w:pPr>
        <w:pStyle w:val="Paragraphedeliste"/>
        <w:numPr>
          <w:ilvl w:val="0"/>
          <w:numId w:val="9"/>
        </w:numPr>
        <w:rPr>
          <w:b/>
          <w:u w:val="single"/>
        </w:rPr>
      </w:pPr>
      <w:r w:rsidRPr="00A86BDF">
        <w:rPr>
          <w:b/>
          <w:u w:val="single"/>
        </w:rPr>
        <w:t>Proposition d’une valorisation pour l’entité sur la base des différentes méthodes vue en cours</w:t>
      </w:r>
    </w:p>
    <w:p w:rsidR="00ED396A" w:rsidP="0A4EDB72" w:rsidRDefault="00EA633B" w14:paraId="29574BB6" w14:textId="04D6C205">
      <w:pPr>
        <w:pStyle w:val="Paragraphedeliste"/>
        <w:numPr>
          <w:ilvl w:val="0"/>
          <w:numId w:val="11"/>
        </w:numPr>
        <w:rPr>
          <w:i/>
          <w:u w:val="single"/>
        </w:rPr>
      </w:pPr>
      <w:r w:rsidRPr="62E408E5">
        <w:rPr>
          <w:i/>
          <w:u w:val="single"/>
        </w:rPr>
        <w:t xml:space="preserve">Méthode de </w:t>
      </w:r>
      <w:r w:rsidRPr="62E408E5" w:rsidR="00BC46C0">
        <w:rPr>
          <w:i/>
          <w:u w:val="single"/>
        </w:rPr>
        <w:t xml:space="preserve">valorisation </w:t>
      </w:r>
      <w:r w:rsidRPr="62E408E5" w:rsidR="0013671D">
        <w:rPr>
          <w:i/>
          <w:u w:val="single"/>
        </w:rPr>
        <w:t xml:space="preserve">DCF </w:t>
      </w:r>
      <w:r w:rsidRPr="62E408E5" w:rsidR="00FB6FAF">
        <w:rPr>
          <w:i/>
          <w:u w:val="single"/>
        </w:rPr>
        <w:t>(Discount Cash Flow)</w:t>
      </w:r>
    </w:p>
    <w:p w:rsidR="00B24A20" w:rsidP="00ED396A" w:rsidRDefault="00C65EA2" w14:paraId="7289B482" w14:textId="05835EC6">
      <w:r>
        <w:t xml:space="preserve">La méthode consiste à </w:t>
      </w:r>
      <w:r w:rsidR="00771F27">
        <w:t xml:space="preserve">valoriser </w:t>
      </w:r>
      <w:r w:rsidR="004B2707">
        <w:t xml:space="preserve">l’entreprise par la valeur des flux de trésoreries </w:t>
      </w:r>
      <w:r w:rsidR="00A15250">
        <w:t xml:space="preserve">actualisés </w:t>
      </w:r>
      <w:r w:rsidR="00A7016E">
        <w:t xml:space="preserve">futurs de l’entreprise. </w:t>
      </w:r>
      <w:r w:rsidR="00C2221D">
        <w:t>La valeur est déterminé</w:t>
      </w:r>
      <w:r w:rsidR="00912D3A">
        <w:t>e</w:t>
      </w:r>
      <w:r w:rsidR="00C2221D">
        <w:t xml:space="preserve"> de la façon suivante : </w:t>
      </w:r>
    </w:p>
    <w:p w:rsidRPr="00912D3A" w:rsidR="00C2221D" w:rsidP="00ED396A" w:rsidRDefault="0039548E" w14:paraId="1567AD29" w14:textId="01D72C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Valeur</m:t>
              </m:r>
            </m:e>
            <m:sub>
              <m:r>
                <w:rPr>
                  <w:rFonts w:ascii="Cambria Math" w:hAnsi="Cambria Math"/>
                </w:rPr>
                <m:t>DCF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FCF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(1+WACC)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  <m:r>
                <w:rPr>
                  <w:rFonts w:ascii="Cambria Math" w:hAnsi="Cambria Math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TV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(1+WACC)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Pr="00F7591D" w:rsidR="00F7591D" w:rsidP="00ED396A" w:rsidRDefault="00F7591D" w14:paraId="51ED6929" w14:textId="444749AA">
      <w:pPr>
        <w:rPr>
          <w:rFonts w:eastAsiaTheme="minorEastAsia"/>
        </w:rPr>
      </w:pPr>
      <w:r>
        <w:t xml:space="preserve">Avec : </w:t>
      </w:r>
    </w:p>
    <w:p w:rsidR="0013671D" w:rsidP="00ED396A" w:rsidRDefault="0039548E" w14:paraId="0E42E254" w14:textId="1FC7E94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FCF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91D">
        <w:rPr>
          <w:rFonts w:eastAsiaTheme="minorEastAsia"/>
        </w:rPr>
        <w:t xml:space="preserve"> les flux de trésorerie disponibles l’année</w:t>
      </w:r>
      <w:r w:rsidR="00BC7353">
        <w:rPr>
          <w:rFonts w:eastAsiaTheme="minorEastAsia"/>
        </w:rPr>
        <w:t xml:space="preserve"> </w:t>
      </w:r>
      <w:proofErr w:type="spellStart"/>
      <w:r w:rsidR="00BC7353">
        <w:rPr>
          <w:rFonts w:eastAsiaTheme="minorEastAsia"/>
        </w:rPr>
        <w:t>N+</w:t>
      </w:r>
      <w:r w:rsidR="00F7591D">
        <w:rPr>
          <w:rFonts w:eastAsiaTheme="minorEastAsia"/>
        </w:rPr>
        <w:t>i</w:t>
      </w:r>
      <w:proofErr w:type="spellEnd"/>
    </w:p>
    <w:p w:rsidR="00F7591D" w:rsidP="00ED396A" w:rsidRDefault="00BE2EE9" w14:paraId="29E0480C" w14:textId="47043D4D">
      <w:pPr>
        <w:rPr>
          <w:rFonts w:eastAsiaTheme="minorEastAsia"/>
        </w:rPr>
      </w:pPr>
      <m:oMath>
        <m:r>
          <w:rPr>
            <w:rFonts w:ascii="Cambria Math" w:hAnsi="Cambria Math"/>
          </w:rPr>
          <m:t>WACC</m:t>
        </m:r>
      </m:oMath>
      <w:r w:rsidR="00F7591D">
        <w:rPr>
          <w:rFonts w:eastAsiaTheme="minorEastAsia"/>
        </w:rPr>
        <w:t xml:space="preserve"> le co</w:t>
      </w:r>
      <w:proofErr w:type="spellStart"/>
      <w:r w:rsidR="006064D9">
        <w:rPr>
          <w:rFonts w:eastAsiaTheme="minorEastAsia"/>
        </w:rPr>
        <w:t>ût</w:t>
      </w:r>
      <w:proofErr w:type="spellEnd"/>
      <w:r w:rsidR="006064D9">
        <w:rPr>
          <w:rFonts w:eastAsiaTheme="minorEastAsia"/>
        </w:rPr>
        <w:t xml:space="preserve"> moyen pondéré du capital que nous supposons égal à </w:t>
      </w:r>
      <w:r w:rsidR="00045779">
        <w:rPr>
          <w:rFonts w:eastAsiaTheme="minorEastAsia"/>
        </w:rPr>
        <w:t xml:space="preserve">8,20% (valeur obtenue sur </w:t>
      </w:r>
      <w:r w:rsidRPr="00045779" w:rsidR="00045779">
        <w:rPr>
          <w:rFonts w:eastAsiaTheme="minorEastAsia"/>
          <w:i/>
          <w:iCs/>
        </w:rPr>
        <w:t>valueinvesting.io</w:t>
      </w:r>
      <w:r w:rsidR="00045779">
        <w:rPr>
          <w:rFonts w:eastAsiaTheme="minorEastAsia"/>
        </w:rPr>
        <w:t>)</w:t>
      </w:r>
    </w:p>
    <w:p w:rsidR="00045779" w:rsidP="00ED396A" w:rsidRDefault="00BE2EE9" w14:paraId="27B4C0A5" w14:textId="423D789E">
      <w:p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>TV</m:t>
        </m:r>
      </m:oMath>
      <w:r w:rsidR="00045779">
        <w:rPr>
          <w:rFonts w:eastAsiaTheme="minorEastAsia"/>
        </w:rPr>
        <w:t xml:space="preserve"> la valeur terminale</w:t>
      </w:r>
    </w:p>
    <w:p w:rsidR="008D06B5" w:rsidP="00ED396A" w:rsidRDefault="00045779" w14:paraId="29AEE411" w14:textId="296C4B4C">
      <w:pPr>
        <w:rPr>
          <w:rFonts w:eastAsiaTheme="minorEastAsia"/>
        </w:rPr>
      </w:pPr>
      <w:r>
        <w:rPr>
          <w:rFonts w:eastAsiaTheme="minorEastAsia"/>
        </w:rPr>
        <w:t>n</w:t>
      </w:r>
      <w:r w:rsidR="008D06B5">
        <w:rPr>
          <w:rFonts w:eastAsiaTheme="minorEastAsia"/>
        </w:rPr>
        <w:t xml:space="preserve">=5 l’horizon de projection </w:t>
      </w:r>
    </w:p>
    <w:p w:rsidR="00045779" w:rsidP="00ED396A" w:rsidRDefault="00045779" w14:paraId="5E6170EB" w14:textId="33733BF6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D06B5">
        <w:rPr>
          <w:rFonts w:eastAsiaTheme="minorEastAsia"/>
        </w:rPr>
        <w:t xml:space="preserve">Nous </w:t>
      </w:r>
      <w:r w:rsidR="00243408">
        <w:rPr>
          <w:rFonts w:eastAsiaTheme="minorEastAsia"/>
        </w:rPr>
        <w:t xml:space="preserve">calculons d’abords les flux de trésoreries disponibles </w:t>
      </w:r>
      <w:r w:rsidR="0023065B">
        <w:rPr>
          <w:rFonts w:eastAsiaTheme="minorEastAsia"/>
        </w:rPr>
        <w:t xml:space="preserve">avec la formule suivante : </w:t>
      </w:r>
    </w:p>
    <w:p w:rsidR="00C020E6" w:rsidP="00ED396A" w:rsidRDefault="00C020E6" w14:paraId="5970B246" w14:textId="1A5C4BD2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FCF = EBIAT + D&amp;A - CAPEX + ∆NWC</m:t>
          </m:r>
        </m:oMath>
      </m:oMathPara>
    </w:p>
    <w:p w:rsidR="009B1E9B" w:rsidRDefault="0089472B" w14:paraId="181CA9CE" w14:textId="77777777">
      <w:pPr>
        <w:rPr>
          <w:rFonts w:eastAsiaTheme="minorEastAsia"/>
        </w:rPr>
      </w:pPr>
      <w:r>
        <w:rPr>
          <w:rFonts w:eastAsiaTheme="minorEastAsia"/>
        </w:rPr>
        <w:t>Pour</w:t>
      </w:r>
      <w:r w:rsidR="00D22E52">
        <w:rPr>
          <w:rFonts w:eastAsiaTheme="minorEastAsia"/>
        </w:rPr>
        <w:t xml:space="preserve"> calculer le résultat d’exploitation après impôts, nous devons </w:t>
      </w:r>
      <w:r w:rsidR="00F63B83">
        <w:rPr>
          <w:rFonts w:eastAsiaTheme="minorEastAsia"/>
        </w:rPr>
        <w:t>faire des hypothèses sur l’évolution du chiffre d’affaires</w:t>
      </w:r>
      <w:r w:rsidR="00096F69">
        <w:rPr>
          <w:rFonts w:eastAsiaTheme="minorEastAsia"/>
        </w:rPr>
        <w:t xml:space="preserve">. </w:t>
      </w:r>
    </w:p>
    <w:p w:rsidR="0089472B" w:rsidRDefault="00494612" w14:paraId="17C390A9" w14:textId="335CB6A4">
      <w:pPr>
        <w:rPr>
          <w:rFonts w:eastAsiaTheme="minorEastAsia"/>
        </w:rPr>
      </w:pPr>
      <w:r>
        <w:rPr>
          <w:rFonts w:eastAsiaTheme="minorEastAsia"/>
        </w:rPr>
        <w:t xml:space="preserve">D’après le site </w:t>
      </w:r>
      <w:r w:rsidRPr="00DE1D9F">
        <w:rPr>
          <w:rFonts w:eastAsiaTheme="minorEastAsia"/>
          <w:i/>
          <w:iCs/>
        </w:rPr>
        <w:t>zonebourse</w:t>
      </w:r>
      <w:r w:rsidRPr="00DE1D9F" w:rsidR="00DE1D9F">
        <w:rPr>
          <w:rFonts w:eastAsiaTheme="minorEastAsia"/>
          <w:i/>
          <w:iCs/>
        </w:rPr>
        <w:t xml:space="preserve">.com </w:t>
      </w:r>
      <w:r w:rsidR="00DE1D9F">
        <w:rPr>
          <w:rFonts w:eastAsiaTheme="minorEastAsia"/>
        </w:rPr>
        <w:t>le chiffre d’affaires de Levi</w:t>
      </w:r>
      <w:r w:rsidR="00450573">
        <w:rPr>
          <w:rFonts w:eastAsiaTheme="minorEastAsia"/>
        </w:rPr>
        <w:t>s</w:t>
      </w:r>
      <w:r w:rsidR="00DE1D9F">
        <w:rPr>
          <w:rFonts w:eastAsiaTheme="minorEastAsia"/>
        </w:rPr>
        <w:t xml:space="preserve"> devrait avoir une </w:t>
      </w:r>
      <w:r w:rsidR="00F54ED0">
        <w:rPr>
          <w:rFonts w:eastAsiaTheme="minorEastAsia"/>
        </w:rPr>
        <w:t xml:space="preserve">très forte </w:t>
      </w:r>
      <w:r w:rsidR="00DE1D9F">
        <w:rPr>
          <w:rFonts w:eastAsiaTheme="minorEastAsia"/>
        </w:rPr>
        <w:t xml:space="preserve">croissance </w:t>
      </w:r>
      <w:r w:rsidR="00F54ED0">
        <w:rPr>
          <w:rFonts w:eastAsiaTheme="minorEastAsia"/>
        </w:rPr>
        <w:t xml:space="preserve">en 2022 (qui s’est </w:t>
      </w:r>
      <w:r w:rsidR="00450573">
        <w:rPr>
          <w:rFonts w:eastAsiaTheme="minorEastAsia"/>
        </w:rPr>
        <w:t xml:space="preserve">d’ailleurs </w:t>
      </w:r>
      <w:r w:rsidR="00F54ED0">
        <w:rPr>
          <w:rFonts w:eastAsiaTheme="minorEastAsia"/>
        </w:rPr>
        <w:t>confirmé</w:t>
      </w:r>
      <w:r w:rsidR="00D31A24">
        <w:rPr>
          <w:rFonts w:eastAsiaTheme="minorEastAsia"/>
        </w:rPr>
        <w:t>e</w:t>
      </w:r>
      <w:r w:rsidR="00F54ED0">
        <w:rPr>
          <w:rFonts w:eastAsiaTheme="minorEastAsia"/>
        </w:rPr>
        <w:t xml:space="preserve"> pour le premier </w:t>
      </w:r>
      <w:r w:rsidR="00116116">
        <w:rPr>
          <w:rFonts w:eastAsiaTheme="minorEastAsia"/>
        </w:rPr>
        <w:t xml:space="preserve">trimestre) </w:t>
      </w:r>
      <w:r w:rsidR="00D31A24">
        <w:rPr>
          <w:rFonts w:eastAsiaTheme="minorEastAsia"/>
        </w:rPr>
        <w:t>puis un</w:t>
      </w:r>
      <w:r w:rsidR="00846438">
        <w:rPr>
          <w:rFonts w:eastAsiaTheme="minorEastAsia"/>
        </w:rPr>
        <w:t xml:space="preserve"> ralentissement </w:t>
      </w:r>
      <w:r w:rsidR="00D31A24">
        <w:rPr>
          <w:rFonts w:eastAsiaTheme="minorEastAsia"/>
        </w:rPr>
        <w:t xml:space="preserve">de la croissance les années suivantes. </w:t>
      </w:r>
    </w:p>
    <w:p w:rsidR="00D31A24" w:rsidRDefault="00015C81" w14:paraId="37AB5928" w14:textId="38A795F1">
      <w:pPr>
        <w:rPr>
          <w:rFonts w:eastAsiaTheme="minorEastAsia"/>
        </w:rPr>
      </w:pPr>
      <w:r>
        <w:rPr>
          <w:rFonts w:eastAsiaTheme="minorEastAsia"/>
        </w:rPr>
        <w:t xml:space="preserve">Pour les autres </w:t>
      </w:r>
      <w:r w:rsidR="000268E1">
        <w:rPr>
          <w:rFonts w:eastAsiaTheme="minorEastAsia"/>
        </w:rPr>
        <w:t>variables</w:t>
      </w:r>
      <w:r w:rsidR="007838A3">
        <w:rPr>
          <w:rFonts w:eastAsiaTheme="minorEastAsia"/>
        </w:rPr>
        <w:t xml:space="preserve">, </w:t>
      </w:r>
      <w:r w:rsidR="00E87A88">
        <w:rPr>
          <w:rFonts w:eastAsiaTheme="minorEastAsia"/>
        </w:rPr>
        <w:t xml:space="preserve">nous </w:t>
      </w:r>
      <w:r w:rsidR="000268E1">
        <w:rPr>
          <w:rFonts w:eastAsiaTheme="minorEastAsia"/>
        </w:rPr>
        <w:t>les calculons en fonction de leur part dans le chiffre d’affaire</w:t>
      </w:r>
      <w:r w:rsidR="0023204E">
        <w:rPr>
          <w:rFonts w:eastAsiaTheme="minorEastAsia"/>
        </w:rPr>
        <w:t>s. Pour chaque variables, l</w:t>
      </w:r>
      <w:r w:rsidR="0028295C">
        <w:rPr>
          <w:rFonts w:eastAsiaTheme="minorEastAsia"/>
        </w:rPr>
        <w:t>e pourcentage du chiffre d’affaires pour les prochaines années est calculé en faisant la moyenne</w:t>
      </w:r>
      <w:r w:rsidR="00F82DAC">
        <w:rPr>
          <w:rFonts w:eastAsiaTheme="minorEastAsia"/>
        </w:rPr>
        <w:t xml:space="preserve"> des % du CA des années 2017 à 2021.</w:t>
      </w:r>
    </w:p>
    <w:p w:rsidR="00231139" w:rsidRDefault="00231139" w14:paraId="77635B19" w14:textId="6675FD30">
      <w:pPr>
        <w:rPr>
          <w:rFonts w:eastAsiaTheme="minorEastAsia"/>
        </w:rPr>
      </w:pPr>
      <w:r>
        <w:rPr>
          <w:rFonts w:eastAsiaTheme="minorEastAsia"/>
        </w:rPr>
        <w:t xml:space="preserve">Une fois tous ces calculs fait nous pouvons calculer le REAI : </w:t>
      </w:r>
    </w:p>
    <w:p w:rsidRPr="009447BC" w:rsidR="00231139" w:rsidRDefault="00D57A73" w14:paraId="423C369B" w14:textId="5F1D7C33">
      <w:pPr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>EBIAT=EBIT-Tax=</m:t>
          </m:r>
          <m:d>
            <m:dPr>
              <m:ctrlPr>
                <w:rPr>
                  <w:rFonts w:ascii="Cambria Math" w:hAnsi="Cambria Math" w:eastAsiaTheme="minorEastAsia"/>
                  <w:i/>
                </w:rPr>
              </m:ctrlPr>
            </m:dPr>
            <m:e>
              <m:r>
                <w:rPr>
                  <w:rFonts w:ascii="Cambria Math" w:hAnsi="Cambria Math" w:eastAsiaTheme="minorEastAsia"/>
                </w:rPr>
                <m:t>Gross Profit-SG&amp;A-D&amp;A</m:t>
              </m:r>
            </m:e>
          </m:d>
          <m:r>
            <w:rPr>
              <w:rFonts w:ascii="Cambria Math" w:hAnsi="Cambria Math" w:eastAsiaTheme="minorEastAsia"/>
            </w:rPr>
            <m:t>-Tax</m:t>
          </m:r>
        </m:oMath>
      </m:oMathPara>
    </w:p>
    <w:p w:rsidR="00DF5589" w:rsidRDefault="00E1531A" w14:paraId="7D4847E8" w14:textId="58F1C925">
      <w:pPr>
        <w:rPr>
          <w:rFonts w:eastAsiaTheme="minorEastAsia"/>
        </w:rPr>
      </w:pPr>
      <w:r>
        <w:rPr>
          <w:rFonts w:eastAsiaTheme="minorEastAsia"/>
        </w:rPr>
        <w:t xml:space="preserve">Nous </w:t>
      </w:r>
      <w:r w:rsidR="00DE1571">
        <w:rPr>
          <w:rFonts w:eastAsiaTheme="minorEastAsia"/>
        </w:rPr>
        <w:t xml:space="preserve">déterminons les taxes en utilisant le taux d’imposition donné dans le </w:t>
      </w:r>
      <w:r w:rsidRPr="00DE1571" w:rsidR="00DE1571">
        <w:rPr>
          <w:rFonts w:eastAsiaTheme="minorEastAsia"/>
          <w:i/>
          <w:iCs/>
        </w:rPr>
        <w:t xml:space="preserve">Quarter </w:t>
      </w:r>
      <w:proofErr w:type="spellStart"/>
      <w:r w:rsidRPr="00DE1571" w:rsidR="00DE1571">
        <w:rPr>
          <w:rFonts w:eastAsiaTheme="minorEastAsia"/>
          <w:i/>
          <w:iCs/>
        </w:rPr>
        <w:t>Results</w:t>
      </w:r>
      <w:proofErr w:type="spellEnd"/>
      <w:r w:rsidR="00836A76">
        <w:rPr>
          <w:rFonts w:eastAsiaTheme="minorEastAsia"/>
        </w:rPr>
        <w:t xml:space="preserve"> </w:t>
      </w:r>
      <w:r w:rsidR="00DE1571">
        <w:rPr>
          <w:rFonts w:eastAsiaTheme="minorEastAsia"/>
        </w:rPr>
        <w:t xml:space="preserve">2022 </w:t>
      </w:r>
      <w:r w:rsidR="00F72058">
        <w:rPr>
          <w:rFonts w:eastAsiaTheme="minorEastAsia"/>
        </w:rPr>
        <w:t xml:space="preserve">de </w:t>
      </w:r>
      <w:proofErr w:type="spellStart"/>
      <w:r w:rsidR="00F72058">
        <w:rPr>
          <w:rFonts w:eastAsiaTheme="minorEastAsia"/>
        </w:rPr>
        <w:t>Levis&amp;Co</w:t>
      </w:r>
      <w:proofErr w:type="spellEnd"/>
      <w:r w:rsidR="00F72058">
        <w:rPr>
          <w:rFonts w:eastAsiaTheme="minorEastAsia"/>
        </w:rPr>
        <w:t xml:space="preserve">. </w:t>
      </w:r>
    </w:p>
    <w:p w:rsidR="002A46FA" w:rsidRDefault="001523E0" w14:paraId="3914E8B6" w14:textId="377F4C2D">
      <w:pPr>
        <w:rPr>
          <w:rFonts w:eastAsiaTheme="minorEastAsia"/>
        </w:rPr>
      </w:pPr>
      <w:r>
        <w:rPr>
          <w:rFonts w:eastAsiaTheme="minorEastAsia"/>
        </w:rPr>
        <w:lastRenderedPageBreak/>
        <w:t>Nous avons donc toutes les variables nécessaires pour calculer les flux de trésoreries disponibles, sauf l</w:t>
      </w:r>
      <w:r w:rsidR="00791FA8">
        <w:rPr>
          <w:rFonts w:eastAsiaTheme="minorEastAsia"/>
        </w:rPr>
        <w:t xml:space="preserve">a variation du BFR. </w:t>
      </w:r>
    </w:p>
    <w:p w:rsidRPr="00D82AFD" w:rsidR="00D82AFD" w:rsidP="00D82AFD" w:rsidRDefault="004F6A75" w14:paraId="430DC5C1" w14:textId="1A165EB3">
      <w:pPr>
        <w:rPr>
          <w:rFonts w:eastAsiaTheme="minorEastAsia"/>
        </w:rPr>
      </w:pPr>
      <w:r w:rsidRPr="00D82AFD">
        <w:rPr>
          <w:rFonts w:eastAsiaTheme="minorEastAsia"/>
        </w:rPr>
        <w:t xml:space="preserve">Nous </w:t>
      </w:r>
      <w:r w:rsidR="001F17A7">
        <w:rPr>
          <w:rFonts w:eastAsiaTheme="minorEastAsia"/>
        </w:rPr>
        <w:t>commençons par calculer</w:t>
      </w:r>
      <w:r w:rsidRPr="00D82AFD" w:rsidR="00492FCD">
        <w:rPr>
          <w:rFonts w:eastAsiaTheme="minorEastAsia"/>
        </w:rPr>
        <w:t xml:space="preserve"> </w:t>
      </w:r>
      <w:r w:rsidRPr="00D82AFD" w:rsidR="000C6230">
        <w:rPr>
          <w:rFonts w:eastAsiaTheme="minorEastAsia"/>
        </w:rPr>
        <w:t xml:space="preserve">les trois ratios du BFR pour les années 2017 à 2021 : </w:t>
      </w:r>
    </w:p>
    <w:p w:rsidR="00D82AFD" w:rsidP="00D82AFD" w:rsidRDefault="00D82AFD" w14:paraId="6F5F21AA" w14:textId="7680B788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 délai de rotation des stocks : </w:t>
      </w:r>
      <m:oMath>
        <m:r>
          <m:rPr>
            <m:sty m:val="p"/>
          </m:rPr>
          <w:rPr>
            <w:rFonts w:ascii="Cambria Math" w:hAnsi="Cambria Math" w:eastAsiaTheme="minorEastAsia"/>
          </w:rPr>
          <m:t>DIO</m:t>
        </m:r>
        <m:r>
          <w:rPr>
            <w:rFonts w:ascii="Cambria Math" w:hAnsi="Cambria Math" w:eastAsiaTheme="minorEastAsia"/>
          </w:rPr>
          <m:t xml:space="preserve"> =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Stock</m:t>
            </m:r>
          </m:num>
          <m:den>
            <m:r>
              <w:rPr>
                <w:rFonts w:ascii="Cambria Math" w:hAnsi="Cambria Math" w:eastAsiaTheme="minorEastAsia"/>
              </w:rPr>
              <m:t>Coût des marchandises</m:t>
            </m:r>
          </m:den>
        </m:f>
        <m:r>
          <w:rPr>
            <w:rFonts w:ascii="Cambria Math" w:hAnsi="Cambria Math" w:eastAsiaTheme="minorEastAsia"/>
          </w:rPr>
          <m:t xml:space="preserve"> * 365</m:t>
        </m:r>
      </m:oMath>
    </w:p>
    <w:p w:rsidR="004F6A75" w:rsidRDefault="00D82AFD" w14:paraId="1C52414B" w14:textId="1A06BED1">
      <w:pPr>
        <w:rPr>
          <w:rFonts w:eastAsiaTheme="minorEastAsia"/>
        </w:rPr>
      </w:pPr>
      <w:r>
        <w:rPr>
          <w:rFonts w:eastAsiaTheme="minorEastAsia"/>
        </w:rPr>
        <w:t>Il a explosé</w:t>
      </w:r>
      <w:r w:rsidR="00EF119F">
        <w:rPr>
          <w:rFonts w:eastAsiaTheme="minorEastAsia"/>
        </w:rPr>
        <w:t xml:space="preserve"> en 2020, en augmentant de 20 jours. </w:t>
      </w:r>
      <w:r w:rsidR="00E421EA">
        <w:rPr>
          <w:rFonts w:eastAsiaTheme="minorEastAsia"/>
        </w:rPr>
        <w:t>Cela s’explique par la forte baisse</w:t>
      </w:r>
      <w:r w:rsidR="00161EB3">
        <w:rPr>
          <w:rFonts w:eastAsiaTheme="minorEastAsia"/>
        </w:rPr>
        <w:t xml:space="preserve"> (environs -25</w:t>
      </w:r>
      <w:r w:rsidR="00A530B7">
        <w:rPr>
          <w:rFonts w:eastAsiaTheme="minorEastAsia"/>
        </w:rPr>
        <w:t>%)</w:t>
      </w:r>
      <w:r w:rsidR="00E421EA">
        <w:rPr>
          <w:rFonts w:eastAsiaTheme="minorEastAsia"/>
        </w:rPr>
        <w:t xml:space="preserve"> du coût des marchandises cette année là.</w:t>
      </w:r>
      <w:r w:rsidR="002D337E">
        <w:rPr>
          <w:rFonts w:eastAsiaTheme="minorEastAsia"/>
        </w:rPr>
        <w:t xml:space="preserve"> </w:t>
      </w:r>
      <w:r w:rsidR="00C572FA">
        <w:rPr>
          <w:rFonts w:eastAsiaTheme="minorEastAsia"/>
        </w:rPr>
        <w:t>En 2021, ce ratio a l</w:t>
      </w:r>
      <w:r w:rsidR="009C5B4C">
        <w:rPr>
          <w:rFonts w:eastAsiaTheme="minorEastAsia"/>
        </w:rPr>
        <w:t xml:space="preserve">argement diminué et nous supposons donc qu’il va </w:t>
      </w:r>
      <w:r w:rsidR="00F427AC">
        <w:rPr>
          <w:rFonts w:eastAsiaTheme="minorEastAsia"/>
        </w:rPr>
        <w:t>retrouver les mêmes valeurs qu’avant 2020</w:t>
      </w:r>
      <w:r w:rsidR="003B417A">
        <w:rPr>
          <w:rFonts w:eastAsiaTheme="minorEastAsia"/>
        </w:rPr>
        <w:t xml:space="preserve"> et rester stable pour les prochaines années</w:t>
      </w:r>
      <w:r w:rsidR="00F427AC">
        <w:rPr>
          <w:rFonts w:eastAsiaTheme="minorEastAsia"/>
        </w:rPr>
        <w:t>. Nous le fixons donc à 130 jours</w:t>
      </w:r>
      <w:r w:rsidR="008121B1">
        <w:rPr>
          <w:rFonts w:eastAsiaTheme="minorEastAsia"/>
        </w:rPr>
        <w:t xml:space="preserve"> pour notre période de projection.</w:t>
      </w:r>
    </w:p>
    <w:p w:rsidR="00D95AC5" w:rsidP="000C6230" w:rsidRDefault="00F82F43" w14:paraId="1FFA0DF7" w14:textId="5FC835D7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 délai moyen </w:t>
      </w:r>
      <w:r w:rsidR="0087319A">
        <w:rPr>
          <w:rFonts w:eastAsiaTheme="minorEastAsia"/>
        </w:rPr>
        <w:t>de paiement</w:t>
      </w:r>
      <w:r w:rsidR="006F1109">
        <w:rPr>
          <w:rFonts w:eastAsiaTheme="minorEastAsia"/>
        </w:rPr>
        <w:t xml:space="preserve"> clients</w:t>
      </w:r>
      <w:r>
        <w:rPr>
          <w:rFonts w:eastAsiaTheme="minorEastAsia"/>
        </w:rPr>
        <w:t xml:space="preserve"> : </w:t>
      </w:r>
      <m:oMath>
        <m:r>
          <m:rPr>
            <m:sty m:val="p"/>
          </m:rPr>
          <w:rPr>
            <w:rFonts w:ascii="Cambria Math" w:hAnsi="Cambria Math" w:eastAsiaTheme="minorEastAsia"/>
          </w:rPr>
          <m:t>DSO</m:t>
        </m:r>
        <m:r>
          <w:rPr>
            <w:rFonts w:ascii="Cambria Math" w:hAnsi="Cambria Math" w:eastAsiaTheme="minorEastAsia"/>
          </w:rPr>
          <m:t xml:space="preserve"> =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Créances clients</m:t>
            </m:r>
          </m:num>
          <m:den>
            <m:r>
              <w:rPr>
                <w:rFonts w:ascii="Cambria Math" w:hAnsi="Cambria Math" w:eastAsiaTheme="minorEastAsia"/>
              </w:rPr>
              <m:t>Chiffre d'affaires</m:t>
            </m:r>
          </m:den>
        </m:f>
        <m:r>
          <w:rPr>
            <w:rFonts w:ascii="Cambria Math" w:hAnsi="Cambria Math" w:eastAsiaTheme="minorEastAsia"/>
          </w:rPr>
          <m:t xml:space="preserve"> * 365</m:t>
        </m:r>
      </m:oMath>
    </w:p>
    <w:p w:rsidRPr="001B7D84" w:rsidR="001B7D84" w:rsidP="001B7D84" w:rsidRDefault="001B7D84" w14:paraId="03B95086" w14:textId="05EDAB23">
      <w:pPr>
        <w:rPr>
          <w:rFonts w:eastAsiaTheme="minorEastAsia"/>
        </w:rPr>
      </w:pPr>
      <w:r>
        <w:rPr>
          <w:rFonts w:eastAsiaTheme="minorEastAsia"/>
        </w:rPr>
        <w:t>Il a tr</w:t>
      </w:r>
      <w:r w:rsidR="00D64312">
        <w:rPr>
          <w:rFonts w:eastAsiaTheme="minorEastAsia"/>
        </w:rPr>
        <w:t>ès fortement augmenté en 2019 (</w:t>
      </w:r>
      <w:r w:rsidR="00C55145">
        <w:rPr>
          <w:rFonts w:eastAsiaTheme="minorEastAsia"/>
        </w:rPr>
        <w:t xml:space="preserve">faisant </w:t>
      </w:r>
      <w:r w:rsidR="00D64312">
        <w:rPr>
          <w:rFonts w:eastAsiaTheme="minorEastAsia"/>
        </w:rPr>
        <w:t>suite à l’entrée en bourse de Levis), puis légèrement diminué en 202</w:t>
      </w:r>
      <w:r w:rsidR="00722DDC">
        <w:rPr>
          <w:rFonts w:eastAsiaTheme="minorEastAsia"/>
        </w:rPr>
        <w:t>0</w:t>
      </w:r>
      <w:r w:rsidR="00D64312">
        <w:rPr>
          <w:rFonts w:eastAsiaTheme="minorEastAsia"/>
        </w:rPr>
        <w:t xml:space="preserve"> et </w:t>
      </w:r>
      <w:r w:rsidR="003B417A">
        <w:rPr>
          <w:rFonts w:eastAsiaTheme="minorEastAsia"/>
        </w:rPr>
        <w:t xml:space="preserve">est rester stable en </w:t>
      </w:r>
      <w:r w:rsidR="00722DDC">
        <w:rPr>
          <w:rFonts w:eastAsiaTheme="minorEastAsia"/>
        </w:rPr>
        <w:t xml:space="preserve">2021. Nous pouvons donc supposer qu’il sera </w:t>
      </w:r>
      <w:r w:rsidR="00ED3224">
        <w:rPr>
          <w:rFonts w:eastAsiaTheme="minorEastAsia"/>
        </w:rPr>
        <w:t xml:space="preserve">aussi constant sur notre période de projection. </w:t>
      </w:r>
    </w:p>
    <w:p w:rsidR="000C6230" w:rsidP="000C6230" w:rsidRDefault="00F82F43" w14:paraId="17F3612B" w14:textId="64EA15C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 w:eastAsiaTheme="minorEastAsia"/>
          </w:rPr>
          <m:t xml:space="preserve"> </m:t>
        </m:r>
      </m:oMath>
      <w:r w:rsidR="00944A87">
        <w:rPr>
          <w:rFonts w:eastAsiaTheme="minorEastAsia"/>
        </w:rPr>
        <w:t>Le délai moyen fournisseur</w:t>
      </w:r>
      <w:r w:rsidR="003C7F05">
        <w:rPr>
          <w:rFonts w:eastAsiaTheme="minorEastAsia"/>
        </w:rPr>
        <w:t xml:space="preserve"> : </w:t>
      </w:r>
      <m:oMath>
        <m:r>
          <w:rPr>
            <w:rFonts w:ascii="Cambria Math" w:hAnsi="Cambria Math" w:eastAsiaTheme="minorEastAsia"/>
          </w:rPr>
          <m:t xml:space="preserve">DPO =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r>
              <w:rPr>
                <w:rFonts w:ascii="Cambria Math" w:hAnsi="Cambria Math" w:eastAsiaTheme="minorEastAsia"/>
              </w:rPr>
              <m:t>Comptes créditeurs</m:t>
            </m:r>
          </m:num>
          <m:den>
            <m:r>
              <w:rPr>
                <w:rFonts w:ascii="Cambria Math" w:hAnsi="Cambria Math" w:eastAsiaTheme="minorEastAsia"/>
              </w:rPr>
              <m:t>Coût des marchandises</m:t>
            </m:r>
          </m:den>
        </m:f>
        <m:r>
          <w:rPr>
            <w:rFonts w:ascii="Cambria Math" w:hAnsi="Cambria Math" w:eastAsiaTheme="minorEastAsia"/>
          </w:rPr>
          <m:t xml:space="preserve"> * 365</m:t>
        </m:r>
      </m:oMath>
    </w:p>
    <w:p w:rsidR="006904B6" w:rsidP="00753E12" w:rsidRDefault="00550A94" w14:paraId="3742A219" w14:textId="140E58D3">
      <w:pPr>
        <w:rPr>
          <w:rFonts w:eastAsiaTheme="minorEastAsia"/>
        </w:rPr>
      </w:pPr>
      <w:r>
        <w:rPr>
          <w:rFonts w:eastAsiaTheme="minorEastAsia"/>
        </w:rPr>
        <w:t xml:space="preserve">Il a </w:t>
      </w:r>
      <w:r w:rsidR="00C67841">
        <w:rPr>
          <w:rFonts w:eastAsiaTheme="minorEastAsia"/>
        </w:rPr>
        <w:t>fortement augmenté en 2020</w:t>
      </w:r>
      <w:r w:rsidR="00C55145">
        <w:rPr>
          <w:rFonts w:eastAsiaTheme="minorEastAsia"/>
        </w:rPr>
        <w:t xml:space="preserve">. Conséquence de la crise du </w:t>
      </w:r>
      <w:r w:rsidR="00421236">
        <w:rPr>
          <w:rFonts w:eastAsiaTheme="minorEastAsia"/>
        </w:rPr>
        <w:t>C</w:t>
      </w:r>
      <w:r w:rsidR="00C55145">
        <w:rPr>
          <w:rFonts w:eastAsiaTheme="minorEastAsia"/>
        </w:rPr>
        <w:t>ovid</w:t>
      </w:r>
      <w:r w:rsidR="00421236">
        <w:rPr>
          <w:rFonts w:eastAsiaTheme="minorEastAsia"/>
        </w:rPr>
        <w:t xml:space="preserve">-19, </w:t>
      </w:r>
      <w:r w:rsidR="00C32057">
        <w:rPr>
          <w:rFonts w:eastAsiaTheme="minorEastAsia"/>
        </w:rPr>
        <w:t xml:space="preserve">l’entreprise </w:t>
      </w:r>
      <w:r w:rsidR="007245A4">
        <w:rPr>
          <w:rFonts w:eastAsiaTheme="minorEastAsia"/>
        </w:rPr>
        <w:t xml:space="preserve">mettait plus de temps </w:t>
      </w:r>
      <w:r w:rsidR="00BE2708">
        <w:rPr>
          <w:rFonts w:eastAsiaTheme="minorEastAsia"/>
        </w:rPr>
        <w:t>à</w:t>
      </w:r>
      <w:r w:rsidR="007245A4">
        <w:rPr>
          <w:rFonts w:eastAsiaTheme="minorEastAsia"/>
        </w:rPr>
        <w:t xml:space="preserve"> être payé par ses clients et vendait moins, donc il est logique </w:t>
      </w:r>
      <w:r w:rsidR="0080048F">
        <w:rPr>
          <w:rFonts w:eastAsiaTheme="minorEastAsia"/>
        </w:rPr>
        <w:t xml:space="preserve">qu’elle ait négocié </w:t>
      </w:r>
      <w:r w:rsidR="00855280">
        <w:rPr>
          <w:rFonts w:eastAsiaTheme="minorEastAsia"/>
        </w:rPr>
        <w:t>des délais plus longs</w:t>
      </w:r>
      <w:r w:rsidR="0080048F">
        <w:rPr>
          <w:rFonts w:eastAsiaTheme="minorEastAsia"/>
        </w:rPr>
        <w:t xml:space="preserve"> avec ses fournisseurs.</w:t>
      </w:r>
      <w:r w:rsidR="00BE2708">
        <w:rPr>
          <w:rFonts w:eastAsiaTheme="minorEastAsia"/>
        </w:rPr>
        <w:t xml:space="preserve"> </w:t>
      </w:r>
      <w:r w:rsidR="00855280">
        <w:rPr>
          <w:rFonts w:eastAsiaTheme="minorEastAsia"/>
        </w:rPr>
        <w:t xml:space="preserve">Cependant, </w:t>
      </w:r>
      <w:r w:rsidR="00451C6B">
        <w:rPr>
          <w:rFonts w:eastAsiaTheme="minorEastAsia"/>
        </w:rPr>
        <w:t>il semble que cela ne soit pas la seule explication, car</w:t>
      </w:r>
      <w:r w:rsidR="00847521">
        <w:rPr>
          <w:rFonts w:eastAsiaTheme="minorEastAsia"/>
        </w:rPr>
        <w:t xml:space="preserve"> sinon</w:t>
      </w:r>
      <w:r w:rsidR="00451C6B">
        <w:rPr>
          <w:rFonts w:eastAsiaTheme="minorEastAsia"/>
        </w:rPr>
        <w:t xml:space="preserve"> il </w:t>
      </w:r>
      <w:r w:rsidR="00847521">
        <w:rPr>
          <w:rFonts w:eastAsiaTheme="minorEastAsia"/>
        </w:rPr>
        <w:t>aurait dû diminuer</w:t>
      </w:r>
      <w:r w:rsidR="00451C6B">
        <w:rPr>
          <w:rFonts w:eastAsiaTheme="minorEastAsia"/>
        </w:rPr>
        <w:t xml:space="preserve"> en 2021</w:t>
      </w:r>
      <w:r w:rsidR="00847521">
        <w:rPr>
          <w:rFonts w:eastAsiaTheme="minorEastAsia"/>
        </w:rPr>
        <w:t xml:space="preserve">. Nous </w:t>
      </w:r>
      <w:r w:rsidR="007E492C">
        <w:rPr>
          <w:rFonts w:eastAsiaTheme="minorEastAsia"/>
        </w:rPr>
        <w:t>faisons donc l’hypothèse</w:t>
      </w:r>
      <w:r w:rsidR="00847521">
        <w:rPr>
          <w:rFonts w:eastAsiaTheme="minorEastAsia"/>
        </w:rPr>
        <w:t xml:space="preserve"> </w:t>
      </w:r>
      <w:r w:rsidR="00AD2882">
        <w:rPr>
          <w:rFonts w:eastAsiaTheme="minorEastAsia"/>
        </w:rPr>
        <w:t>qu’il sera constant et égal à 83 jours</w:t>
      </w:r>
      <w:r w:rsidR="000572E7">
        <w:rPr>
          <w:rFonts w:eastAsiaTheme="minorEastAsia"/>
        </w:rPr>
        <w:t xml:space="preserve">, </w:t>
      </w:r>
      <w:r w:rsidR="00AD2882">
        <w:rPr>
          <w:rFonts w:eastAsiaTheme="minorEastAsia"/>
        </w:rPr>
        <w:t>comme en 2021</w:t>
      </w:r>
      <w:r w:rsidR="000572E7">
        <w:rPr>
          <w:rFonts w:eastAsiaTheme="minorEastAsia"/>
        </w:rPr>
        <w:t>,</w:t>
      </w:r>
      <w:r w:rsidR="00AD2882">
        <w:rPr>
          <w:rFonts w:eastAsiaTheme="minorEastAsia"/>
        </w:rPr>
        <w:t xml:space="preserve"> jusqu’en 2026.</w:t>
      </w:r>
    </w:p>
    <w:p w:rsidR="00495DD9" w:rsidP="00753E12" w:rsidRDefault="00C73182" w14:paraId="4D83DBD4" w14:textId="14321A00">
      <w:pPr>
        <w:rPr>
          <w:rFonts w:eastAsiaTheme="minorEastAsia"/>
        </w:rPr>
      </w:pPr>
      <w:r>
        <w:rPr>
          <w:rFonts w:eastAsiaTheme="minorEastAsia"/>
        </w:rPr>
        <w:t>A l’aide de ces ratios, nous pouvons calculer les montants des actifs et passifs circulants</w:t>
      </w:r>
      <w:r w:rsidR="00534671">
        <w:rPr>
          <w:rFonts w:eastAsiaTheme="minorEastAsia"/>
        </w:rPr>
        <w:t xml:space="preserve"> futurs</w:t>
      </w:r>
      <w:r w:rsidR="00495DD9">
        <w:rPr>
          <w:rFonts w:eastAsiaTheme="minorEastAsia"/>
        </w:rPr>
        <w:t xml:space="preserve">. Et donc le besoin de fonds de roulement pour chaque année, </w:t>
      </w:r>
      <w:r w:rsidR="005D6D24">
        <w:rPr>
          <w:rFonts w:eastAsiaTheme="minorEastAsia"/>
        </w:rPr>
        <w:t xml:space="preserve">ainsi que sa variation. </w:t>
      </w:r>
    </w:p>
    <w:p w:rsidR="005D6D24" w:rsidP="00753E12" w:rsidRDefault="00F83167" w14:paraId="0ED3D6A3" w14:textId="2FD87BEB">
      <w:pPr>
        <w:rPr>
          <w:rFonts w:eastAsiaTheme="minorEastAsia"/>
        </w:rPr>
      </w:pPr>
      <w:r>
        <w:rPr>
          <w:rFonts w:eastAsiaTheme="minorEastAsia"/>
        </w:rPr>
        <w:t>Nous avons donc toutes les valeurs nécessaires pour calculer les flux de trésoreries disponibles</w:t>
      </w:r>
      <w:r w:rsidR="00CB61DE">
        <w:rPr>
          <w:rFonts w:eastAsiaTheme="minorEastAsia"/>
        </w:rPr>
        <w:t xml:space="preserve">, il reste donc à calculer la valeur terminale. </w:t>
      </w:r>
    </w:p>
    <w:p w:rsidR="00CB61DE" w:rsidP="00753E12" w:rsidRDefault="00CB61DE" w14:paraId="5B8C3D10" w14:textId="77777777">
      <w:pPr>
        <w:rPr>
          <w:rFonts w:eastAsiaTheme="minorEastAsia"/>
        </w:rPr>
      </w:pPr>
      <w:r>
        <w:rPr>
          <w:rFonts w:eastAsiaTheme="minorEastAsia"/>
        </w:rPr>
        <w:t>Elle est définie par la formule suivante :</w:t>
      </w:r>
    </w:p>
    <w:p w:rsidR="0081636C" w:rsidP="00753E12" w:rsidRDefault="00CB61DE" w14:paraId="2234D52D" w14:textId="7777777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t xml:space="preserve">TV = </m:t>
        </m:r>
        <m:f>
          <m:fPr>
            <m:ctrlPr>
              <w:rPr>
                <w:rFonts w:ascii="Cambria Math" w:hAnsi="Cambria Math" w:eastAsiaTheme="minorEastAsia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eastAsiaTheme="minorEastAsia"/>
                    <w:i/>
                  </w:rPr>
                </m:ctrlPr>
              </m:sSubPr>
              <m:e>
                <m:r>
                  <w:rPr>
                    <w:rFonts w:ascii="Cambria Math" w:hAnsi="Cambria Math" w:eastAsiaTheme="minorEastAsia"/>
                  </w:rPr>
                  <m:t>FCF</m:t>
                </m:r>
              </m:e>
              <m:sub>
                <m:r>
                  <w:rPr>
                    <w:rFonts w:ascii="Cambria Math" w:hAnsi="Cambria Math" w:eastAsiaTheme="minorEastAsia"/>
                  </w:rPr>
                  <m:t>N</m:t>
                </m:r>
              </m:sub>
            </m:sSub>
            <m:r>
              <w:rPr>
                <w:rFonts w:ascii="Cambria Math" w:hAnsi="Cambria Math" w:eastAsiaTheme="minorEastAsia"/>
              </w:rPr>
              <m:t xml:space="preserve"> * (1+g)</m:t>
            </m:r>
          </m:num>
          <m:den>
            <m:r>
              <w:rPr>
                <w:rFonts w:ascii="Cambria Math" w:hAnsi="Cambria Math" w:eastAsiaTheme="minorEastAsia"/>
              </w:rPr>
              <m:t>WACC - g</m:t>
            </m:r>
          </m:den>
        </m:f>
        <m:r>
          <w:rPr>
            <w:rFonts w:ascii="Cambria Math" w:hAnsi="Cambria Math" w:eastAsiaTheme="minorEastAsia"/>
          </w:rPr>
          <m:t xml:space="preserve"> </m:t>
        </m:r>
      </m:oMath>
      <w:r w:rsidR="00FE3D15">
        <w:rPr>
          <w:rFonts w:eastAsiaTheme="minorEastAsia"/>
        </w:rPr>
        <w:t xml:space="preserve"> </w:t>
      </w:r>
    </w:p>
    <w:p w:rsidR="00CB61DE" w:rsidP="00753E12" w:rsidRDefault="00FE3D15" w14:paraId="43A84E05" w14:textId="71F013CF">
      <w:pPr>
        <w:rPr>
          <w:rFonts w:eastAsiaTheme="minorEastAsia"/>
        </w:rPr>
      </w:pPr>
      <w:r>
        <w:rPr>
          <w:rFonts w:eastAsiaTheme="minorEastAsia"/>
        </w:rPr>
        <w:t>où g est l</w:t>
      </w:r>
      <w:r w:rsidR="00D56902">
        <w:rPr>
          <w:rFonts w:eastAsiaTheme="minorEastAsia"/>
        </w:rPr>
        <w:t>e taux de croissance à l’infini que nous supposons égal à 3,5%</w:t>
      </w:r>
    </w:p>
    <w:p w:rsidR="00342FB1" w:rsidP="00753E12" w:rsidRDefault="006E02F3" w14:paraId="1901E273" w14:textId="78F0E96A">
      <w:pPr>
        <w:rPr>
          <w:rFonts w:eastAsiaTheme="minorEastAsia"/>
        </w:rPr>
      </w:pPr>
      <w:r>
        <w:rPr>
          <w:rFonts w:eastAsiaTheme="minorEastAsia"/>
        </w:rPr>
        <w:t xml:space="preserve">Nous pouvons donc finalement calculer la valeur de l’entreprise par la méthode DCF. </w:t>
      </w:r>
      <w:r w:rsidR="005E4B51">
        <w:rPr>
          <w:rFonts w:eastAsiaTheme="minorEastAsia"/>
        </w:rPr>
        <w:t xml:space="preserve">Cette méthode présente toutefois certaines limites. </w:t>
      </w:r>
    </w:p>
    <w:p w:rsidR="00C020E6" w:rsidRDefault="005E4B51" w14:paraId="67A875EB" w14:textId="7197F8E7">
      <w:pPr>
        <w:rPr>
          <w:rFonts w:eastAsiaTheme="minorEastAsia"/>
        </w:rPr>
      </w:pPr>
      <w:r>
        <w:rPr>
          <w:rFonts w:eastAsiaTheme="minorEastAsia"/>
        </w:rPr>
        <w:t>Premièrement, la méthode se base sur des hypothèses de proj</w:t>
      </w:r>
      <w:r w:rsidR="00091D95">
        <w:rPr>
          <w:rFonts w:eastAsiaTheme="minorEastAsia"/>
        </w:rPr>
        <w:t xml:space="preserve">ection dont il est difficile d’évaluer la pertinence. </w:t>
      </w:r>
      <w:r w:rsidR="00B24FCB">
        <w:rPr>
          <w:rFonts w:eastAsiaTheme="minorEastAsia"/>
        </w:rPr>
        <w:t xml:space="preserve">D’autant plus que nos hypothèses se basent sur les cinq dernières années, </w:t>
      </w:r>
      <w:r w:rsidR="009163D6">
        <w:rPr>
          <w:rFonts w:eastAsiaTheme="minorEastAsia"/>
        </w:rPr>
        <w:t xml:space="preserve">qui ont été marqués par des changements pour notre entreprise, comme son retour en bourse ou la crise du </w:t>
      </w:r>
      <w:r w:rsidR="00260E09">
        <w:rPr>
          <w:rFonts w:eastAsiaTheme="minorEastAsia"/>
        </w:rPr>
        <w:t>C</w:t>
      </w:r>
      <w:r w:rsidR="009163D6">
        <w:rPr>
          <w:rFonts w:eastAsiaTheme="minorEastAsia"/>
        </w:rPr>
        <w:t>ovid</w:t>
      </w:r>
      <w:r w:rsidR="00260E09">
        <w:rPr>
          <w:rFonts w:eastAsiaTheme="minorEastAsia"/>
        </w:rPr>
        <w:t>-19.</w:t>
      </w:r>
      <w:r w:rsidR="00B57BE0">
        <w:rPr>
          <w:rFonts w:eastAsiaTheme="minorEastAsia"/>
        </w:rPr>
        <w:t xml:space="preserve"> D’autre part, nous avons fait des hypothèses sur le taux d’actualisation (CMPC) et le taux de croissance à l’infini</w:t>
      </w:r>
      <w:r w:rsidR="00FC4475">
        <w:rPr>
          <w:rFonts w:eastAsiaTheme="minorEastAsia"/>
        </w:rPr>
        <w:t xml:space="preserve">, mais un </w:t>
      </w:r>
      <w:r w:rsidR="00484616">
        <w:rPr>
          <w:rFonts w:eastAsiaTheme="minorEastAsia"/>
        </w:rPr>
        <w:t>léger changement sur ces valeurs a</w:t>
      </w:r>
      <w:r w:rsidR="00820F90">
        <w:rPr>
          <w:rFonts w:eastAsiaTheme="minorEastAsia"/>
        </w:rPr>
        <w:t>ura</w:t>
      </w:r>
      <w:r w:rsidR="00484616">
        <w:rPr>
          <w:rFonts w:eastAsiaTheme="minorEastAsia"/>
        </w:rPr>
        <w:t xml:space="preserve"> un très grand impact sur </w:t>
      </w:r>
      <w:r w:rsidR="00081DD8">
        <w:rPr>
          <w:rFonts w:eastAsiaTheme="minorEastAsia"/>
        </w:rPr>
        <w:t>notre valorisation</w:t>
      </w:r>
      <w:r w:rsidR="00B47E1D">
        <w:rPr>
          <w:rFonts w:eastAsiaTheme="minorEastAsia"/>
        </w:rPr>
        <w:t>, passer de 8,2% à 10,2% pour le taux d’actualisation nous fait passer de 10 à 7 milliards par exemple.</w:t>
      </w:r>
    </w:p>
    <w:p w:rsidRPr="000F2908" w:rsidR="0023065B" w:rsidP="0A4EDB72" w:rsidRDefault="008A1ABE" w14:paraId="09D4D246" w14:textId="04A9C6DE">
      <w:pPr>
        <w:pStyle w:val="Paragraphedeliste"/>
        <w:numPr>
          <w:ilvl w:val="0"/>
          <w:numId w:val="11"/>
        </w:numPr>
        <w:rPr>
          <w:rFonts w:eastAsiaTheme="minorEastAsia"/>
          <w:i/>
          <w:u w:val="single"/>
        </w:rPr>
      </w:pPr>
      <w:r w:rsidRPr="62E408E5">
        <w:rPr>
          <w:rFonts w:eastAsiaTheme="minorEastAsia"/>
          <w:i/>
          <w:u w:val="single"/>
        </w:rPr>
        <w:t>Méthode de valorisation par la performance</w:t>
      </w:r>
    </w:p>
    <w:p w:rsidR="00045779" w:rsidP="00ED396A" w:rsidRDefault="00DB2A25" w14:paraId="3DA66F2B" w14:textId="5391E889">
      <w:r>
        <w:t>La méthode consis</w:t>
      </w:r>
      <w:r w:rsidR="00D70B3E">
        <w:t xml:space="preserve">te à </w:t>
      </w:r>
      <w:r w:rsidRPr="00D70B3E" w:rsidR="00D70B3E">
        <w:t xml:space="preserve">déterminer la valeur financière d'une entreprise à travers une projection du résultat net de l'entreprise sur </w:t>
      </w:r>
      <w:r w:rsidR="00D70B3E">
        <w:t>plusieurs</w:t>
      </w:r>
      <w:r w:rsidRPr="00D70B3E" w:rsidR="00D70B3E">
        <w:t xml:space="preserve"> années</w:t>
      </w:r>
      <w:r w:rsidR="00D70B3E">
        <w:t>.</w:t>
      </w:r>
      <w:r w:rsidR="00E6761C">
        <w:t xml:space="preserve"> On suppose que le résultat net de l’entreprise va </w:t>
      </w:r>
      <w:r w:rsidR="00E6761C">
        <w:lastRenderedPageBreak/>
        <w:t xml:space="preserve">avoir une croissance constante </w:t>
      </w:r>
      <w:r w:rsidR="00772EBB">
        <w:t xml:space="preserve">sur la période de projection. La valeur est obtenue par la formule suivante : </w:t>
      </w:r>
    </w:p>
    <w:p w:rsidRPr="00AE6E12" w:rsidR="00772EBB" w:rsidP="00ED396A" w:rsidRDefault="0039548E" w14:paraId="5B58D69F" w14:textId="572D03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Valeur</m:t>
              </m:r>
            </m:e>
            <m:sub>
              <m:r>
                <w:rPr>
                  <w:rFonts w:ascii="Cambria Math" w:hAnsi="Cambria Math"/>
                </w:rPr>
                <m:t>perf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Résultat net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(1+i%)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 VT</m:t>
              </m:r>
            </m:e>
          </m:nary>
        </m:oMath>
      </m:oMathPara>
    </w:p>
    <w:p w:rsidR="00F13873" w:rsidP="00ED396A" w:rsidRDefault="00AE6E12" w14:paraId="43C1FEEA" w14:textId="49057212">
      <w:pPr>
        <w:rPr>
          <w:rFonts w:eastAsiaTheme="minorEastAsia"/>
        </w:rPr>
      </w:pPr>
      <w:r>
        <w:rPr>
          <w:rFonts w:eastAsiaTheme="minorEastAsia"/>
        </w:rPr>
        <w:t>Avec</w:t>
      </w:r>
      <w:r w:rsidR="006D47F0">
        <w:rPr>
          <w:rFonts w:eastAsiaTheme="minorEastAsia"/>
        </w:rPr>
        <w:t xml:space="preserve"> </w:t>
      </w:r>
      <w:r>
        <w:rPr>
          <w:rFonts w:eastAsiaTheme="minorEastAsia"/>
        </w:rPr>
        <w:t>r le taux de croissance constant</w:t>
      </w:r>
      <w:r w:rsidR="006D47F0">
        <w:rPr>
          <w:rFonts w:eastAsiaTheme="minorEastAsia"/>
        </w:rPr>
        <w:t xml:space="preserve">, </w:t>
      </w:r>
      <w:r w:rsidR="00F13873">
        <w:rPr>
          <w:rFonts w:eastAsiaTheme="minorEastAsia"/>
        </w:rPr>
        <w:t>n=10 l’horizon de projection</w:t>
      </w:r>
      <w:r w:rsidR="006D47F0">
        <w:rPr>
          <w:rFonts w:eastAsiaTheme="minorEastAsia"/>
        </w:rPr>
        <w:t xml:space="preserve"> et </w:t>
      </w:r>
      <w:r w:rsidR="00F13873">
        <w:rPr>
          <w:rFonts w:eastAsiaTheme="minorEastAsia"/>
        </w:rPr>
        <w:t>VT la valeur terminale</w:t>
      </w:r>
      <w:r w:rsidR="006D47F0">
        <w:rPr>
          <w:rFonts w:eastAsiaTheme="minorEastAsia"/>
        </w:rPr>
        <w:t>.</w:t>
      </w:r>
    </w:p>
    <w:p w:rsidR="00F13873" w:rsidP="00ED396A" w:rsidRDefault="003B6403" w14:paraId="27568953" w14:textId="64AF27BE">
      <w:pPr>
        <w:rPr>
          <w:rFonts w:eastAsiaTheme="minorEastAsia"/>
        </w:rPr>
      </w:pPr>
      <w:r>
        <w:rPr>
          <w:rFonts w:eastAsiaTheme="minorEastAsia"/>
        </w:rPr>
        <w:t>Sur une période de projection assez grande</w:t>
      </w:r>
      <w:r w:rsidR="00F13873">
        <w:rPr>
          <w:rFonts w:eastAsiaTheme="minorEastAsia"/>
        </w:rPr>
        <w:t xml:space="preserve"> la valeur terminale</w:t>
      </w:r>
      <w:r>
        <w:rPr>
          <w:rFonts w:eastAsiaTheme="minorEastAsia"/>
        </w:rPr>
        <w:t xml:space="preserve"> est</w:t>
      </w:r>
      <w:r w:rsidR="00F13873">
        <w:rPr>
          <w:rFonts w:eastAsiaTheme="minorEastAsia"/>
        </w:rPr>
        <w:t xml:space="preserve"> négligeable, </w:t>
      </w:r>
      <w:r>
        <w:rPr>
          <w:rFonts w:eastAsiaTheme="minorEastAsia"/>
        </w:rPr>
        <w:t>donc</w:t>
      </w:r>
      <w:r w:rsidR="00F13873">
        <w:rPr>
          <w:rFonts w:eastAsiaTheme="minorEastAsia"/>
        </w:rPr>
        <w:t xml:space="preserve"> on ne l’inclut pas dans nos calculs</w:t>
      </w:r>
      <w:r>
        <w:rPr>
          <w:rFonts w:eastAsiaTheme="minorEastAsia"/>
        </w:rPr>
        <w:t xml:space="preserve">. </w:t>
      </w:r>
    </w:p>
    <w:p w:rsidRPr="00F14DA4" w:rsidR="00ED396A" w:rsidP="00ED396A" w:rsidRDefault="005F502C" w14:paraId="5BBBCBF2" w14:textId="686E0107">
      <w:pPr>
        <w:rPr>
          <w:rFonts w:eastAsiaTheme="minorEastAsia"/>
        </w:rPr>
      </w:pPr>
      <w:r>
        <w:rPr>
          <w:rFonts w:eastAsiaTheme="minorEastAsia"/>
        </w:rPr>
        <w:t xml:space="preserve">Pour le taux d’intérêt, nous ne pouvons pas nous baser sur les </w:t>
      </w:r>
      <w:r w:rsidR="008C255A">
        <w:rPr>
          <w:rFonts w:eastAsiaTheme="minorEastAsia"/>
        </w:rPr>
        <w:t>données historiques car il est très instable, notamment</w:t>
      </w:r>
      <w:r w:rsidR="00E435FC">
        <w:rPr>
          <w:rFonts w:eastAsiaTheme="minorEastAsia"/>
        </w:rPr>
        <w:t xml:space="preserve"> à la</w:t>
      </w:r>
      <w:r w:rsidR="008C255A">
        <w:rPr>
          <w:rFonts w:eastAsiaTheme="minorEastAsia"/>
        </w:rPr>
        <w:t xml:space="preserve"> </w:t>
      </w:r>
      <w:r w:rsidR="00776B79">
        <w:rPr>
          <w:rFonts w:eastAsiaTheme="minorEastAsia"/>
        </w:rPr>
        <w:t xml:space="preserve">suite </w:t>
      </w:r>
      <w:r w:rsidR="00E435FC">
        <w:rPr>
          <w:rFonts w:eastAsiaTheme="minorEastAsia"/>
        </w:rPr>
        <w:t>d</w:t>
      </w:r>
      <w:r w:rsidR="00776B79">
        <w:rPr>
          <w:rFonts w:eastAsiaTheme="minorEastAsia"/>
        </w:rPr>
        <w:t xml:space="preserve">u retour en bourse de Levis en 2019 et la crise du Covid en 2020. Nous </w:t>
      </w:r>
      <w:r w:rsidR="00B87022">
        <w:rPr>
          <w:rFonts w:eastAsiaTheme="minorEastAsia"/>
        </w:rPr>
        <w:t xml:space="preserve">prenons donc le taux d’intérêt proposé par le site </w:t>
      </w:r>
      <w:r w:rsidRPr="00B87022" w:rsidR="00B87022">
        <w:rPr>
          <w:rFonts w:eastAsiaTheme="minorEastAsia"/>
          <w:i/>
          <w:iCs/>
        </w:rPr>
        <w:t>zonebourse.com</w:t>
      </w:r>
      <w:r w:rsidR="00B87022">
        <w:rPr>
          <w:rFonts w:eastAsiaTheme="minorEastAsia"/>
        </w:rPr>
        <w:t>.</w:t>
      </w:r>
    </w:p>
    <w:p w:rsidR="62E408E5" w:rsidP="62E408E5" w:rsidRDefault="62E408E5" w14:paraId="502048A3" w14:textId="2E80F8F0">
      <w:pPr>
        <w:rPr>
          <w:rFonts w:eastAsiaTheme="minorEastAsia"/>
        </w:rPr>
      </w:pPr>
      <w:r w:rsidRPr="62E408E5">
        <w:rPr>
          <w:rFonts w:eastAsiaTheme="minorEastAsia"/>
        </w:rPr>
        <w:t xml:space="preserve">La principale limite de cette méthode est que le taux de croissance du résultat net est supposé constant alors que dans la réalité, c’est rarement le cas. </w:t>
      </w:r>
    </w:p>
    <w:p w:rsidR="122DB04A" w:rsidP="122DB04A" w:rsidRDefault="122DB04A" w14:paraId="6497E105" w14:textId="7AE58FEB"/>
    <w:p w:rsidR="4E66C552" w:rsidP="0A4EDB72" w:rsidRDefault="43CB88A1" w14:paraId="3A3732AD" w14:textId="237FA378">
      <w:pPr>
        <w:pStyle w:val="Paragraphedeliste"/>
        <w:numPr>
          <w:ilvl w:val="0"/>
          <w:numId w:val="11"/>
        </w:numPr>
        <w:rPr>
          <w:i/>
          <w:u w:val="single"/>
        </w:rPr>
      </w:pPr>
      <w:r w:rsidRPr="62E408E5">
        <w:rPr>
          <w:i/>
          <w:u w:val="single"/>
        </w:rPr>
        <w:t xml:space="preserve">Méthode de </w:t>
      </w:r>
      <w:r w:rsidRPr="62E408E5" w:rsidR="129FA4BB">
        <w:rPr>
          <w:i/>
          <w:u w:val="single"/>
        </w:rPr>
        <w:t>valorisation patrimoniale</w:t>
      </w:r>
      <w:r w:rsidRPr="0A4EDB72" w:rsidR="129FA4BB">
        <w:rPr>
          <w:i/>
          <w:iCs/>
        </w:rPr>
        <w:t xml:space="preserve"> </w:t>
      </w:r>
    </w:p>
    <w:p w:rsidR="31DCBCE3" w:rsidP="31DCBCE3" w:rsidRDefault="45BA9E92" w14:paraId="3B233942" w14:textId="0E3383DD">
      <w:r>
        <w:t xml:space="preserve">Cette méthode permet de valoriser l’entreprise en sommant la valeur réelle des actifs et en soustrayant les dettes. Cette méthode </w:t>
      </w:r>
      <w:r w:rsidR="5EB3DFD3">
        <w:t xml:space="preserve">a l’avantage d’être </w:t>
      </w:r>
      <w:r>
        <w:t>simple</w:t>
      </w:r>
      <w:r w:rsidR="5EB3DFD3">
        <w:t xml:space="preserve"> et objective</w:t>
      </w:r>
      <w:r>
        <w:t xml:space="preserve">, puisqu’elle se base sur le bilan de l’entreprise. </w:t>
      </w:r>
      <w:r w:rsidR="5EB3DFD3">
        <w:t xml:space="preserve">Son inconvénient est qu’elle ne laisse peu de place au potentiel de valeur et à la création de richesses futures. </w:t>
      </w:r>
    </w:p>
    <w:p w:rsidR="45BA9E92" w:rsidP="45BA9E92" w:rsidRDefault="45BA9E92" w14:paraId="2112F3D3" w14:textId="329E0A72">
      <w:r>
        <w:t xml:space="preserve">Pour déterminer la valeur de l’entreprise, on calcule d’abord l’Actif Net Comptable : </w:t>
      </w:r>
      <m:oMath>
        <m:r>
          <w:rPr>
            <w:rFonts w:ascii="Cambria Math" w:hAnsi="Cambria Math"/>
          </w:rPr>
          <m:t>ANC=Actifs réels - Dettes - 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r>
              <w:rPr>
                <w:rFonts w:ascii="Cambria Math" w:hAnsi="Cambria Math"/>
              </w:rPr>
              <m:t>o</m:t>
            </m:r>
          </m:e>
        </m:func>
        <m:r>
          <w:rPr>
            <w:rFonts w:ascii="Cambria Math" w:hAnsi="Cambria Math"/>
          </w:rPr>
          <m:t>visions pour risques et ch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s+Ecart de conversion </m:t>
        </m:r>
      </m:oMath>
      <w:r>
        <w:t xml:space="preserve">Or travaillant sur des comptes en norme IFRS, il n’y a pas d’écart de conversion à l’actif ni au passif donc l’écart de conversion n’est pas pris en compte. </w:t>
      </w:r>
    </w:p>
    <w:p w:rsidR="45BA9E92" w:rsidP="45BA9E92" w:rsidRDefault="45BA9E92" w14:paraId="667AC32D" w14:textId="37FFE734">
      <w:r>
        <w:t>Ensuite, puisque dans l’ANC les biens sont évalués à leur coût d’acquisition et non à leur valeur réelle, il convient de calculer l’Actif Net Comptable Corrigé :</w:t>
      </w:r>
      <m:oMath>
        <m:r>
          <w:rPr>
            <w:rFonts w:ascii="Cambria Math" w:hAnsi="Cambria Math"/>
          </w:rPr>
          <m:t>ANCC=ANC±plus ou moins values des actifs+provision non justifiée+fiscalité différée </m:t>
        </m:r>
      </m:oMath>
      <w:r>
        <w:t xml:space="preserve"> Or, le rapport annuel de Lévi’s ne faisant pas mention des actifs fictifs, nous pouvons les considérer nuls, tout comme la fiscalité différée. </w:t>
      </w:r>
    </w:p>
    <w:p w:rsidR="45BA9E92" w:rsidP="45BA9E92" w:rsidRDefault="45BA9E92" w14:paraId="42239A8A" w14:textId="0A04D7DA">
      <w:r>
        <w:t xml:space="preserve">Enfin, la valeur de l’entreprise se calcule ainsi : </w:t>
      </w:r>
      <m:oMath>
        <m:r>
          <w:rPr>
            <w:rFonts w:ascii="Cambria Math" w:hAnsi="Cambria Math"/>
          </w:rPr>
          <m:t> Valeu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Patri</m:t>
            </m:r>
          </m:sub>
        </m:sSub>
        <m:r>
          <w:rPr>
            <w:rFonts w:ascii="Cambria Math" w:hAnsi="Cambria Math"/>
          </w:rPr>
          <m:t>=ANCC + Goodwill</m:t>
        </m:r>
      </m:oMath>
    </w:p>
    <w:p w:rsidR="45BA9E92" w:rsidP="45BA9E92" w:rsidRDefault="45BA9E92" w14:paraId="34FA8844" w14:textId="058ABF92">
      <w:r>
        <w:t xml:space="preserve">Or le Goodwill, qui représente la différence entre la valeur de marché et l’actif net d’une entreprise, est initialement déjà inscris à l’actif. </w:t>
      </w:r>
      <w:r w:rsidR="5EB3DFD3">
        <w:t>La valorisation</w:t>
      </w:r>
      <w:r>
        <w:t xml:space="preserve"> finale de l’entreprise correspond ainsi à l’ANCC.</w:t>
      </w:r>
    </w:p>
    <w:p w:rsidR="22951844" w:rsidP="22951844" w:rsidRDefault="22951844" w14:paraId="224822CA" w14:textId="4DE1E9A7"/>
    <w:p w:rsidR="0EF838D8" w:rsidP="62E408E5" w:rsidRDefault="2B14AF4B" w14:paraId="620512E6" w14:textId="4E99289D">
      <w:pPr>
        <w:pStyle w:val="Paragraphedeliste"/>
        <w:numPr>
          <w:ilvl w:val="0"/>
          <w:numId w:val="11"/>
        </w:numPr>
        <w:rPr>
          <w:i/>
          <w:u w:val="single"/>
        </w:rPr>
      </w:pPr>
      <w:r w:rsidRPr="62E408E5">
        <w:rPr>
          <w:i/>
          <w:u w:val="single"/>
        </w:rPr>
        <w:t xml:space="preserve">Méthode </w:t>
      </w:r>
      <w:r w:rsidRPr="62E408E5" w:rsidR="59D5468B">
        <w:rPr>
          <w:i/>
          <w:u w:val="single"/>
        </w:rPr>
        <w:t>comparative</w:t>
      </w:r>
    </w:p>
    <w:p w:rsidR="0EF838D8" w:rsidP="0EF838D8" w:rsidRDefault="0EF838D8" w14:paraId="5A304B92" w14:textId="2D1306E2">
      <w:r>
        <w:t>Le principe de la méthode comparative est de comparer l’entreprise cible à différentes entreprises, dont les résultats sont comparables.</w:t>
      </w:r>
    </w:p>
    <w:p w:rsidR="0EF838D8" w:rsidP="0EF838D8" w:rsidRDefault="0EF838D8" w14:paraId="25A68E19" w14:textId="7217DCA3">
      <w:r>
        <w:t>Il existe différentes méthodes pour comparer les entreprises, faisant appel à des indicateurs différents</w:t>
      </w:r>
    </w:p>
    <w:p w:rsidRPr="000F2908" w:rsidR="00B55D19" w:rsidP="000F2908" w:rsidRDefault="732389F0" w14:paraId="17E8B4DD" w14:textId="0E1277BA">
      <w:pPr>
        <w:pStyle w:val="Paragraphedeliste"/>
        <w:numPr>
          <w:ilvl w:val="0"/>
          <w:numId w:val="12"/>
        </w:numPr>
        <w:rPr>
          <w:rFonts w:eastAsiaTheme="minorEastAsia"/>
          <w:b/>
        </w:rPr>
      </w:pPr>
      <w:r w:rsidRPr="000F2908">
        <w:rPr>
          <w:b/>
        </w:rPr>
        <w:t>Principe de la méthode du PER</w:t>
      </w:r>
    </w:p>
    <w:p w:rsidR="774CE0D4" w:rsidP="0EF838D8" w:rsidRDefault="774CE0D4" w14:paraId="4AB870BC" w14:textId="122FDE94">
      <w:pPr>
        <w:rPr>
          <w:rFonts w:eastAsiaTheme="minorEastAsia"/>
        </w:rPr>
      </w:pPr>
      <w:r w:rsidRPr="0EF838D8">
        <w:rPr>
          <w:rFonts w:eastAsiaTheme="minorEastAsia"/>
        </w:rPr>
        <w:lastRenderedPageBreak/>
        <w:t xml:space="preserve">On définit le PER comme </w:t>
      </w:r>
      <w:r w:rsidRPr="0EF838D8" w:rsidR="7E4D85C0">
        <w:rPr>
          <w:rFonts w:eastAsiaTheme="minorEastAsia"/>
        </w:rPr>
        <w:t xml:space="preserve">étant le </w:t>
      </w:r>
      <w:r w:rsidRPr="0EF838D8" w:rsidR="483EFE4B">
        <w:rPr>
          <w:rFonts w:eastAsiaTheme="minorEastAsia"/>
        </w:rPr>
        <w:t>“</w:t>
      </w:r>
      <w:r w:rsidRPr="0EF838D8" w:rsidR="7E4D85C0">
        <w:rPr>
          <w:rFonts w:eastAsiaTheme="minorEastAsia"/>
        </w:rPr>
        <w:t>Price</w:t>
      </w:r>
      <w:r w:rsidRPr="0EF838D8" w:rsidR="483EFE4B">
        <w:rPr>
          <w:rFonts w:eastAsiaTheme="minorEastAsia"/>
        </w:rPr>
        <w:t xml:space="preserve"> </w:t>
      </w:r>
      <w:proofErr w:type="spellStart"/>
      <w:r w:rsidRPr="0EF838D8" w:rsidR="5A3C51C8">
        <w:rPr>
          <w:rFonts w:eastAsiaTheme="minorEastAsia"/>
        </w:rPr>
        <w:t>Earning</w:t>
      </w:r>
      <w:proofErr w:type="spellEnd"/>
      <w:r w:rsidRPr="0EF838D8" w:rsidR="5A3C51C8">
        <w:rPr>
          <w:rFonts w:eastAsiaTheme="minorEastAsia"/>
        </w:rPr>
        <w:t xml:space="preserve"> Ratio</w:t>
      </w:r>
      <w:r w:rsidRPr="0EF838D8" w:rsidR="26F2978F">
        <w:rPr>
          <w:rFonts w:eastAsiaTheme="minorEastAsia"/>
        </w:rPr>
        <w:t xml:space="preserve">”. </w:t>
      </w:r>
      <w:r w:rsidRPr="0EF838D8" w:rsidR="15B86ECB">
        <w:rPr>
          <w:rFonts w:eastAsiaTheme="minorEastAsia"/>
        </w:rPr>
        <w:t xml:space="preserve">Il s’agit </w:t>
      </w:r>
      <w:r w:rsidRPr="0EF838D8" w:rsidR="7F027C70">
        <w:rPr>
          <w:rFonts w:eastAsiaTheme="minorEastAsia"/>
        </w:rPr>
        <w:t>d’un indicateur qui exprime le nombre d’années de bénéfices que l’investisseur est prêt à payer lorsqu’il achète une action. Il se calcule de la manière suivante :</w:t>
      </w:r>
    </w:p>
    <w:p w:rsidR="0EF838D8" w:rsidP="0EF838D8" w:rsidRDefault="0211C84A" w14:paraId="43AC4C43" w14:textId="7C8F1396">
      <w:pPr>
        <w:jc w:val="center"/>
      </w:pPr>
      <m:oMathPara>
        <m:oMath>
          <m:r>
            <w:rPr>
              <w:rFonts w:ascii="Cambria Math" w:hAnsi="Cambria Math"/>
            </w:rPr>
            <m:t>PER = 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Capitalisation Boursière</m:t>
              </m:r>
            </m:num>
            <m:den>
              <m:r>
                <w:rPr>
                  <w:rFonts w:ascii="Cambria Math" w:hAnsi="Cambria Math"/>
                </w:rPr>
                <m:t>Résultat Net</m:t>
              </m:r>
            </m:den>
          </m:f>
        </m:oMath>
      </m:oMathPara>
    </w:p>
    <w:p w:rsidR="0EF838D8" w:rsidP="0EF838D8" w:rsidRDefault="0EF838D8" w14:paraId="16447564" w14:textId="76795329">
      <w:r>
        <w:t>Une fois le PER de l’entreprise calculé, la valeur des Capitaux Propres (à savoir la valeur de l’entreprise) d’une société est égale à un multiple M de son Résultat Net.</w:t>
      </w:r>
    </w:p>
    <w:p w:rsidR="0EF838D8" w:rsidP="0EF838D8" w:rsidRDefault="0211C84A" w14:paraId="60A383CF" w14:textId="4E8B808E">
      <w:pPr>
        <w:jc w:val="center"/>
      </w:pPr>
      <m:oMathPara>
        <m:oMath>
          <m:r>
            <w:rPr>
              <w:rFonts w:ascii="Cambria Math" w:hAnsi="Cambria Math"/>
            </w:rPr>
            <m:t>Valeur de 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entreprise = M ⋅ Résutlat Net</m:t>
          </m:r>
        </m:oMath>
      </m:oMathPara>
    </w:p>
    <w:p w:rsidR="0EF838D8" w:rsidP="0EF838D8" w:rsidRDefault="0EF838D8" w14:paraId="290933FF" w14:textId="4FF3F3F3">
      <w:r>
        <w:t xml:space="preserve">Le multiple M est déterminé par référence aux PER calculés sur des sociétés cotées comparables à l’entreprise </w:t>
      </w:r>
      <w:proofErr w:type="spellStart"/>
      <w:r w:rsidRPr="0EF838D8">
        <w:rPr>
          <w:i/>
          <w:iCs/>
        </w:rPr>
        <w:t>Levi’s</w:t>
      </w:r>
      <w:proofErr w:type="spellEnd"/>
      <w:r w:rsidRPr="0EF838D8">
        <w:rPr>
          <w:i/>
          <w:iCs/>
        </w:rPr>
        <w:t xml:space="preserve">. </w:t>
      </w:r>
    </w:p>
    <w:p w:rsidR="0EF838D8" w:rsidP="0EF838D8" w:rsidRDefault="0EF838D8" w14:paraId="4097F5C7" w14:textId="094BEB30">
      <w:pPr>
        <w:rPr>
          <w:i/>
          <w:iCs/>
        </w:rPr>
      </w:pPr>
      <w:r w:rsidRPr="0EF838D8">
        <w:t xml:space="preserve">Après des recherches et comparaison des résultats de différentes entreprises, celles retenues pour cette méthode seront </w:t>
      </w:r>
      <w:r w:rsidRPr="0EF838D8">
        <w:rPr>
          <w:i/>
          <w:iCs/>
        </w:rPr>
        <w:t xml:space="preserve">American Eagle </w:t>
      </w:r>
      <w:proofErr w:type="spellStart"/>
      <w:r w:rsidRPr="0EF838D8">
        <w:rPr>
          <w:i/>
          <w:iCs/>
        </w:rPr>
        <w:t>Outiffers</w:t>
      </w:r>
      <w:proofErr w:type="spellEnd"/>
      <w:r w:rsidRPr="0EF838D8">
        <w:rPr>
          <w:i/>
          <w:iCs/>
        </w:rPr>
        <w:t xml:space="preserve">, GAP </w:t>
      </w:r>
      <w:r w:rsidRPr="0EF838D8">
        <w:t>et</w:t>
      </w:r>
      <w:r w:rsidRPr="0EF838D8">
        <w:rPr>
          <w:i/>
          <w:iCs/>
        </w:rPr>
        <w:t xml:space="preserve"> Ralph Lauren.</w:t>
      </w:r>
      <w:r w:rsidRPr="0EF838D8">
        <w:t xml:space="preserve"> </w:t>
      </w:r>
    </w:p>
    <w:p w:rsidR="0EF838D8" w:rsidP="0EF838D8" w:rsidRDefault="0EF838D8" w14:paraId="7BE14DE2" w14:textId="7AD6CF7E">
      <w:r w:rsidRPr="0EF838D8">
        <w:rPr>
          <w:b/>
          <w:bCs/>
        </w:rPr>
        <w:t>Méthodologie utilisée pour le calcul de M :</w:t>
      </w:r>
    </w:p>
    <w:p w:rsidR="0EF838D8" w:rsidP="0EF838D8" w:rsidRDefault="0EF838D8" w14:paraId="4703912A" w14:textId="3D5D784E">
      <w:r w:rsidRPr="0EF838D8">
        <w:t xml:space="preserve">Une fois l’échantillon de </w:t>
      </w:r>
      <w:r w:rsidRPr="0EF838D8">
        <w:rPr>
          <w:i/>
          <w:iCs/>
        </w:rPr>
        <w:t>N</w:t>
      </w:r>
      <w:r w:rsidRPr="0EF838D8">
        <w:t xml:space="preserve"> entreprises fixé, on calcule pour chaque entreprise </w:t>
      </w:r>
      <w:r w:rsidRPr="0EF838D8">
        <w:rPr>
          <w:i/>
          <w:iCs/>
        </w:rPr>
        <w:t>i</w:t>
      </w:r>
      <w:r w:rsidRPr="0EF838D8">
        <w:t xml:space="preserve"> son propre PER noté </w:t>
      </w:r>
      <w:r w:rsidRPr="0EF838D8">
        <w:rPr>
          <w:i/>
          <w:iCs/>
        </w:rPr>
        <w:t>PER(i)</w:t>
      </w:r>
      <w:r w:rsidRPr="0EF838D8">
        <w:t>. Nous avons remplacé les PER négatifs, et donc incohérents par un PER nul.</w:t>
      </w:r>
    </w:p>
    <w:p w:rsidR="0EF838D8" w:rsidP="0EF838D8" w:rsidRDefault="0EF838D8" w14:paraId="0F70E473" w14:textId="02BD2EBF">
      <w:pPr>
        <w:rPr>
          <w:rFonts w:ascii="Calibri" w:hAnsi="Calibri" w:eastAsia="Calibri" w:cs="Calibri"/>
          <w:color w:val="002060"/>
          <w:sz w:val="14"/>
          <w:szCs w:val="14"/>
        </w:rPr>
      </w:pPr>
      <w:r w:rsidRPr="0EF838D8">
        <w:t xml:space="preserve">A noter que les disparités existantes entre les différents marchés de capitaux (Bourse des USA, EUR, Londres, </w:t>
      </w:r>
      <w:proofErr w:type="spellStart"/>
      <w:r w:rsidRPr="0EF838D8">
        <w:t>etc</w:t>
      </w:r>
      <w:proofErr w:type="spellEnd"/>
      <w:r w:rsidRPr="0EF838D8">
        <w:t xml:space="preserve">) doivent être corrigées. Les capitalisations récupérées dans notre cas sont toutes issues de la même bourse, ne problème ne se pose alors pas. </w:t>
      </w:r>
      <w:r w:rsidRPr="0EF838D8">
        <w:rPr>
          <w:rFonts w:ascii="Calibri" w:hAnsi="Calibri" w:eastAsia="Calibri" w:cs="Calibri"/>
          <w:color w:val="002060"/>
          <w:sz w:val="14"/>
          <w:szCs w:val="14"/>
        </w:rPr>
        <w:t xml:space="preserve"> </w:t>
      </w:r>
    </w:p>
    <w:p w:rsidR="0EF838D8" w:rsidP="0EF838D8" w:rsidRDefault="0EF838D8" w14:paraId="5BACEE64" w14:textId="519968B7">
      <w:r w:rsidRPr="0EF838D8">
        <w:t>Ensuite, il s’agit de faire la moyenne des PER trouvés :</w:t>
      </w:r>
    </w:p>
    <w:p w:rsidR="0EF838D8" w:rsidP="0EF838D8" w:rsidRDefault="0211C84A" w14:paraId="24A5C75A" w14:textId="35E41B2D">
      <w:pPr>
        <w:jc w:val="center"/>
      </w:pPr>
      <m:oMath>
        <m:r>
          <w:rPr>
            <w:rFonts w:ascii="Cambria Math" w:hAnsi="Cambria Math"/>
          </w:rPr>
          <m:t>Multiple M = 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i = 1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PER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EF838D8" w:rsidR="0EF838D8">
        <w:t xml:space="preserve"> </w:t>
      </w:r>
    </w:p>
    <w:p w:rsidR="0EF838D8" w:rsidP="0EF838D8" w:rsidRDefault="0EF838D8" w14:paraId="7A98BF18" w14:textId="78804BAA">
      <w:r w:rsidRPr="0EF838D8">
        <w:t xml:space="preserve">Il est aussi envisageable de faire une moyenne pondérée par le chiffre d'affaires ou encore par la capitalisation boursière. Dans le cas de </w:t>
      </w:r>
      <w:proofErr w:type="spellStart"/>
      <w:r w:rsidRPr="0EF838D8">
        <w:rPr>
          <w:i/>
          <w:iCs/>
        </w:rPr>
        <w:t>Levi’s</w:t>
      </w:r>
      <w:proofErr w:type="spellEnd"/>
      <w:r w:rsidRPr="0EF838D8">
        <w:t xml:space="preserve"> et des entreprises comparables choisies, résultats étant grossièrement similaires, nous avons opté pour une moyenne arithmétique.</w:t>
      </w:r>
    </w:p>
    <w:p w:rsidRPr="000F2908" w:rsidR="0EF838D8" w:rsidP="000F2908" w:rsidRDefault="0EF838D8" w14:paraId="57790005" w14:textId="40D97C48">
      <w:pPr>
        <w:pStyle w:val="Paragraphedeliste"/>
        <w:numPr>
          <w:ilvl w:val="0"/>
          <w:numId w:val="12"/>
        </w:numPr>
        <w:rPr>
          <w:rFonts w:eastAsiaTheme="minorEastAsia"/>
          <w:b/>
          <w:bCs/>
        </w:rPr>
      </w:pPr>
      <w:r w:rsidRPr="000F2908">
        <w:rPr>
          <w:b/>
          <w:bCs/>
        </w:rPr>
        <w:t>Autre méthode : multiple de CA, EBITDA et EBIT :</w:t>
      </w:r>
    </w:p>
    <w:p w:rsidR="47CCC6AC" w:rsidP="5075D9E5" w:rsidRDefault="47CCC6AC" w14:paraId="6CA163B7" w14:textId="194566E3">
      <w:pPr>
        <w:rPr>
          <w:rFonts w:eastAsiaTheme="minorEastAsia"/>
        </w:rPr>
      </w:pPr>
      <w:r w:rsidRPr="0F3A6D40">
        <w:rPr>
          <w:rFonts w:eastAsiaTheme="minorEastAsia"/>
        </w:rPr>
        <w:t>Dans cette méthode, nous allons déterminer la valeu</w:t>
      </w:r>
      <w:r w:rsidRPr="0F3A6D40" w:rsidR="2A101469">
        <w:rPr>
          <w:rFonts w:eastAsiaTheme="minorEastAsia"/>
        </w:rPr>
        <w:t xml:space="preserve">r d’entreprise </w:t>
      </w:r>
      <w:proofErr w:type="spellStart"/>
      <w:r w:rsidRPr="0F3A6D40" w:rsidR="2A101469">
        <w:rPr>
          <w:rFonts w:eastAsiaTheme="minorEastAsia"/>
        </w:rPr>
        <w:t>Levi’s</w:t>
      </w:r>
      <w:proofErr w:type="spellEnd"/>
      <w:r w:rsidRPr="0F3A6D40" w:rsidR="2A101469">
        <w:rPr>
          <w:rFonts w:eastAsiaTheme="minorEastAsia"/>
        </w:rPr>
        <w:t xml:space="preserve"> à partir de la valeur d</w:t>
      </w:r>
      <w:r w:rsidRPr="0F3A6D40" w:rsidR="1D9B00D4">
        <w:rPr>
          <w:rFonts w:eastAsiaTheme="minorEastAsia"/>
        </w:rPr>
        <w:t>’entreprise des comparables</w:t>
      </w:r>
      <w:r w:rsidRPr="5075D9E5" w:rsidR="2342FB47">
        <w:rPr>
          <w:rFonts w:eastAsiaTheme="minorEastAsia"/>
        </w:rPr>
        <w:t xml:space="preserve">. </w:t>
      </w:r>
    </w:p>
    <w:p w:rsidR="47CCC6AC" w:rsidP="47CCC6AC" w:rsidRDefault="2342FB47" w14:paraId="722C16DD" w14:textId="52A108AA">
      <w:pPr>
        <w:rPr>
          <w:rFonts w:eastAsiaTheme="minorEastAsia"/>
        </w:rPr>
      </w:pPr>
      <w:r w:rsidRPr="5075D9E5">
        <w:rPr>
          <w:rFonts w:eastAsiaTheme="minorEastAsia"/>
        </w:rPr>
        <w:t xml:space="preserve">On définit la valeur d’entreprise comme </w:t>
      </w:r>
      <w:r w:rsidRPr="369FED8F">
        <w:rPr>
          <w:rFonts w:eastAsiaTheme="minorEastAsia"/>
        </w:rPr>
        <w:t>:</w:t>
      </w:r>
    </w:p>
    <w:p w:rsidR="0D2193BA" w:rsidP="0D2193BA" w:rsidRDefault="0074312A" w14:paraId="54CB28E4" w14:textId="1754496F">
      <w:pPr>
        <w:jc w:val="center"/>
      </w:pPr>
      <m:oMathPara>
        <m:oMath>
          <m:r>
            <w:rPr>
              <w:rFonts w:ascii="Cambria Math" w:hAnsi="Cambria Math"/>
            </w:rPr>
            <m:t>Valeur 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entreprise =M⋅Indicateur utilisé</m:t>
          </m:r>
        </m:oMath>
      </m:oMathPara>
    </w:p>
    <w:p w:rsidR="0D2193BA" w:rsidP="5B6EEA1E" w:rsidRDefault="3CDE0D49" w14:paraId="5EFA4BA9" w14:textId="15CF27F9">
      <w:pPr>
        <w:rPr>
          <w:rFonts w:eastAsiaTheme="minorEastAsia"/>
        </w:rPr>
      </w:pPr>
      <w:r w:rsidRPr="3CDE0D49">
        <w:rPr>
          <w:rFonts w:eastAsiaTheme="minorEastAsia"/>
        </w:rPr>
        <w:t xml:space="preserve">La valeur de </w:t>
      </w:r>
      <w:r w:rsidRPr="2E7D79B5" w:rsidR="2E7D79B5">
        <w:rPr>
          <w:rFonts w:eastAsiaTheme="minorEastAsia"/>
        </w:rPr>
        <w:t>l’entreprise cible</w:t>
      </w:r>
      <w:r w:rsidRPr="2C5723FE" w:rsidR="2C5723FE">
        <w:rPr>
          <w:rFonts w:eastAsiaTheme="minorEastAsia"/>
        </w:rPr>
        <w:t xml:space="preserve"> :</w:t>
      </w:r>
    </w:p>
    <w:p w:rsidR="65AE9739" w:rsidP="52867B1C" w:rsidRDefault="008D52AE" w14:paraId="2E021285" w14:textId="7BCF1E72">
      <w:pPr>
        <w:jc w:val="center"/>
        <w:rPr>
          <w:b/>
          <w:bCs/>
        </w:rPr>
      </w:pPr>
      <m:oMathPara>
        <m:oMath>
          <m:r>
            <w:rPr>
              <w:rFonts w:ascii="Cambria Math" w:hAnsi="Cambria Math"/>
            </w:rPr>
            <m:t>Valeur de 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entreprise cible = Valeur 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entreprise - Dette Financière Nette</m:t>
          </m:r>
        </m:oMath>
      </m:oMathPara>
    </w:p>
    <w:p w:rsidR="0EF838D8" w:rsidP="0EF838D8" w:rsidRDefault="2FC8D746" w14:paraId="0416A9B8" w14:textId="7AD6CF7E">
      <w:r w:rsidRPr="69637D8E">
        <w:rPr>
          <w:b/>
          <w:bCs/>
        </w:rPr>
        <w:t>Méthodologie utilisée pour le calcul de M :</w:t>
      </w:r>
    </w:p>
    <w:p w:rsidR="4E717D3D" w:rsidRDefault="58DC9443" w14:paraId="56783201" w14:textId="1B7B7387">
      <w:r>
        <w:t xml:space="preserve">Comme pour le PER, on se base </w:t>
      </w:r>
      <w:r w:rsidR="358A7E3C">
        <w:t xml:space="preserve">sur </w:t>
      </w:r>
      <w:r w:rsidR="2FEB5075">
        <w:t>une formule</w:t>
      </w:r>
      <w:r w:rsidR="0C993A6E">
        <w:t xml:space="preserve"> :</w:t>
      </w:r>
    </w:p>
    <w:p w:rsidR="5BB9D55A" w:rsidP="0C3C4A12" w:rsidRDefault="002C0F4A" w14:paraId="651CCBAE" w14:textId="21D7756E">
      <w:pPr>
        <w:jc w:val="center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Capitalisation Boursière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 + Endettement Net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EBITDA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 ou CA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 ou EBIT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den>
          </m:f>
        </m:oMath>
      </m:oMathPara>
    </w:p>
    <w:p w:rsidR="755C1F76" w:rsidRDefault="755C1F76" w14:paraId="10CFD4F2" w14:textId="7C3C64F5">
      <w:r>
        <w:t xml:space="preserve">Une fois ce multiple calculé pour toutes les entreprises, on peut en calculer une moyenne, pondérée ou non selon </w:t>
      </w:r>
      <w:r w:rsidR="43A975DB">
        <w:t xml:space="preserve">la situation. </w:t>
      </w:r>
      <w:r w:rsidR="0B65DD61">
        <w:t xml:space="preserve">Dans notre cas, on </w:t>
      </w:r>
      <w:r w:rsidR="212AA45C">
        <w:t xml:space="preserve">utilisera une </w:t>
      </w:r>
      <w:r w:rsidR="1A41B4AD">
        <w:t>la moyenne arithmétique.</w:t>
      </w:r>
    </w:p>
    <w:p w:rsidR="63200B97" w:rsidP="63200B97" w:rsidRDefault="1D6FB997" w14:paraId="460C6A79" w14:textId="731F2326">
      <w:r w:rsidRPr="0A4EDB72">
        <w:rPr>
          <w:b/>
          <w:bCs/>
        </w:rPr>
        <w:lastRenderedPageBreak/>
        <w:t>Remarque :</w:t>
      </w:r>
      <w:r>
        <w:t xml:space="preserve"> Il est parfois possible de trouver un PER négatif, notamment lors des années de décroissance de l’entreprise. L’intérêt du PE</w:t>
      </w:r>
      <w:r w:rsidR="7C2828B3">
        <w:t xml:space="preserve">R perd alors son </w:t>
      </w:r>
      <w:r w:rsidR="0C533C41">
        <w:t>sens. C’est une des limites de cette méthode</w:t>
      </w:r>
      <w:r w:rsidR="4CC6D982">
        <w:t>. Il en est de même pour la méthode via CA, EBIDTA ou EBIT.</w:t>
      </w:r>
    </w:p>
    <w:p w:rsidR="63200B97" w:rsidP="63200B97" w:rsidRDefault="63200B97" w14:paraId="5C6B6850" w14:textId="74ECCA80"/>
    <w:p w:rsidRPr="004107DC" w:rsidR="439DD02A" w:rsidP="004107DC" w:rsidRDefault="439DD02A" w14:paraId="61591528" w14:textId="5567EE71">
      <w:pPr>
        <w:pStyle w:val="Paragraphedeliste"/>
        <w:numPr>
          <w:ilvl w:val="0"/>
          <w:numId w:val="9"/>
        </w:numPr>
        <w:rPr>
          <w:b/>
        </w:rPr>
      </w:pPr>
      <w:r w:rsidRPr="004107DC">
        <w:rPr>
          <w:b/>
        </w:rPr>
        <w:t>Conclusion</w:t>
      </w:r>
    </w:p>
    <w:p w:rsidR="0EF838D8" w:rsidP="0EF838D8" w:rsidRDefault="0EF838D8" w14:paraId="035EE6D4" w14:textId="51EDA61C">
      <w:r>
        <w:t xml:space="preserve">Après avoir appliqué ces différentes méthodes, nous résumons les valorisations </w:t>
      </w:r>
      <w:r w:rsidR="40C50995">
        <w:t xml:space="preserve">(en Millions USD) </w:t>
      </w:r>
      <w:r>
        <w:t>pour l’année 2021 dans le tableau suivant 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812"/>
        <w:gridCol w:w="1812"/>
        <w:gridCol w:w="1812"/>
        <w:gridCol w:w="1812"/>
        <w:gridCol w:w="1812"/>
      </w:tblGrid>
      <w:tr w:rsidR="0EF838D8" w:rsidTr="0EF838D8" w14:paraId="3FD4F5A8" w14:textId="77777777">
        <w:tc>
          <w:tcPr>
            <w:tcW w:w="1812" w:type="dxa"/>
          </w:tcPr>
          <w:p w:rsidR="0EF838D8" w:rsidP="0EF838D8" w:rsidRDefault="0EF838D8" w14:paraId="104417D7" w14:textId="5A3655FF">
            <w:r>
              <w:t>Méthode utilisée</w:t>
            </w:r>
          </w:p>
        </w:tc>
        <w:tc>
          <w:tcPr>
            <w:tcW w:w="1812" w:type="dxa"/>
          </w:tcPr>
          <w:p w:rsidR="0EF838D8" w:rsidP="0EF838D8" w:rsidRDefault="0EF838D8" w14:paraId="75783647" w14:textId="6F523F43">
            <w:r>
              <w:t>Patrimoniale</w:t>
            </w:r>
          </w:p>
        </w:tc>
        <w:tc>
          <w:tcPr>
            <w:tcW w:w="1812" w:type="dxa"/>
          </w:tcPr>
          <w:p w:rsidR="0EF838D8" w:rsidP="0EF838D8" w:rsidRDefault="0EF838D8" w14:paraId="7A03128A" w14:textId="4AE8822A">
            <w:r>
              <w:t>DCF</w:t>
            </w:r>
          </w:p>
        </w:tc>
        <w:tc>
          <w:tcPr>
            <w:tcW w:w="1812" w:type="dxa"/>
          </w:tcPr>
          <w:p w:rsidR="0EF838D8" w:rsidP="0EF838D8" w:rsidRDefault="0EF838D8" w14:paraId="5182140D" w14:textId="706483A1">
            <w:r>
              <w:t>Performances</w:t>
            </w:r>
          </w:p>
        </w:tc>
        <w:tc>
          <w:tcPr>
            <w:tcW w:w="1812" w:type="dxa"/>
          </w:tcPr>
          <w:p w:rsidR="0EF838D8" w:rsidP="0EF838D8" w:rsidRDefault="0EF838D8" w14:paraId="5D4F6F90" w14:textId="37BC089B">
            <w:r>
              <w:t>Comparative</w:t>
            </w:r>
          </w:p>
        </w:tc>
      </w:tr>
      <w:tr w:rsidR="0EF838D8" w:rsidTr="0EF838D8" w14:paraId="60FAF570" w14:textId="77777777">
        <w:trPr>
          <w:trHeight w:val="300"/>
        </w:trPr>
        <w:tc>
          <w:tcPr>
            <w:tcW w:w="1812" w:type="dxa"/>
          </w:tcPr>
          <w:p w:rsidR="0EF838D8" w:rsidP="0EF838D8" w:rsidRDefault="0EF838D8" w14:paraId="33930A59" w14:textId="12A877BA">
            <w:r>
              <w:t>Valorisation</w:t>
            </w:r>
          </w:p>
        </w:tc>
        <w:tc>
          <w:tcPr>
            <w:tcW w:w="1812" w:type="dxa"/>
          </w:tcPr>
          <w:p w:rsidR="0EF838D8" w:rsidP="0EF838D8" w:rsidRDefault="0EF838D8" w14:paraId="07BEDE58" w14:textId="0F1424A6">
            <w:r>
              <w:t>3344</w:t>
            </w:r>
          </w:p>
        </w:tc>
        <w:tc>
          <w:tcPr>
            <w:tcW w:w="1812" w:type="dxa"/>
          </w:tcPr>
          <w:p w:rsidR="0EF838D8" w:rsidP="0EF838D8" w:rsidRDefault="0EF838D8" w14:paraId="602EDB68" w14:textId="0223BAD2">
            <w:pPr>
              <w:rPr>
                <w:rFonts w:ascii="Calibri" w:hAnsi="Calibri" w:eastAsia="Calibri" w:cs="Calibri"/>
              </w:rPr>
            </w:pPr>
            <w:r w:rsidRPr="0EF838D8">
              <w:rPr>
                <w:rFonts w:ascii="Calibri" w:hAnsi="Calibri" w:eastAsia="Calibri" w:cs="Calibri"/>
              </w:rPr>
              <w:t>10 244,78</w:t>
            </w:r>
          </w:p>
        </w:tc>
        <w:tc>
          <w:tcPr>
            <w:tcW w:w="1812" w:type="dxa"/>
          </w:tcPr>
          <w:p w:rsidR="0EF838D8" w:rsidP="0EF838D8" w:rsidRDefault="0EF838D8" w14:paraId="116315EB" w14:textId="786CA348">
            <w:pPr>
              <w:rPr>
                <w:rFonts w:ascii="Calibri" w:hAnsi="Calibri" w:eastAsia="Calibri" w:cs="Calibri"/>
              </w:rPr>
            </w:pPr>
            <w:r w:rsidRPr="0EF838D8">
              <w:rPr>
                <w:rFonts w:ascii="Calibri" w:hAnsi="Calibri" w:eastAsia="Calibri" w:cs="Calibri"/>
              </w:rPr>
              <w:t>7 508,1</w:t>
            </w:r>
          </w:p>
        </w:tc>
        <w:tc>
          <w:tcPr>
            <w:tcW w:w="1812" w:type="dxa"/>
          </w:tcPr>
          <w:p w:rsidR="0EF838D8" w:rsidRDefault="2FC8D746" w14:paraId="2A05DB09" w14:textId="07A833FD">
            <w:r>
              <w:t xml:space="preserve">Via PER : </w:t>
            </w:r>
            <w:r w:rsidR="0EF838D8">
              <w:t>4749,4</w:t>
            </w:r>
          </w:p>
          <w:p w:rsidR="0EF838D8" w:rsidP="1A41B4AD" w:rsidRDefault="1A41B4AD" w14:paraId="0ECD4D69" w14:textId="3F4C92BD">
            <w:r>
              <w:t>Via Sales : 6867,1</w:t>
            </w:r>
          </w:p>
          <w:p w:rsidR="0EF838D8" w:rsidP="1A41B4AD" w:rsidRDefault="1A41B4AD" w14:paraId="489F57AF" w14:textId="28862308">
            <w:r>
              <w:t>Via EBITDA : 3601,0</w:t>
            </w:r>
          </w:p>
          <w:p w:rsidR="0EF838D8" w:rsidRDefault="0EF838D8" w14:paraId="6F55DB1A" w14:textId="68BD7E93"/>
        </w:tc>
      </w:tr>
    </w:tbl>
    <w:p w:rsidR="0EF838D8" w:rsidP="0EF838D8" w:rsidRDefault="0EF838D8" w14:paraId="4D21C0DA" w14:textId="68AFE270"/>
    <w:p w:rsidR="1A41B4AD" w:rsidP="1A41B4AD" w:rsidRDefault="1A41B4AD" w14:paraId="5CC18B0B" w14:textId="24FD9C99">
      <w:r>
        <w:t>Pour conclure, les différentes valorisations commencent à 3,3 milliards de dollars, et montent jusque 10,2 milliards. L’écart de valorisation est moins de trois fois plus grand, ce qui atteste de la viabilité de nos résultats.</w:t>
      </w:r>
    </w:p>
    <w:p w:rsidR="0EF838D8" w:rsidP="0EF838D8" w:rsidRDefault="0EF838D8" w14:paraId="6E825824" w14:textId="6F30831B">
      <w:r>
        <w:t>Comme nous l’avons vu, chacune de ces méthodes a des limites. Utiliser plusieurs méthodes de valorisation permet donc d’estimer plus efficacement la valeur d’une entreprise.</w:t>
      </w:r>
    </w:p>
    <w:p w:rsidR="0EF838D8" w:rsidP="0EF838D8" w:rsidRDefault="0EF838D8" w14:paraId="7B1A0507" w14:textId="666F19A0">
      <w:pPr>
        <w:rPr>
          <w:b/>
          <w:bCs/>
        </w:rPr>
      </w:pPr>
    </w:p>
    <w:p w:rsidR="001F633B" w:rsidP="001F633B" w:rsidRDefault="001F633B" w14:paraId="566AA458" w14:textId="2E115E78"/>
    <w:p w:rsidR="001F633B" w:rsidP="001F633B" w:rsidRDefault="001F633B" w14:paraId="186F4CEC" w14:textId="6ADDDA2A"/>
    <w:p w:rsidR="00B55D19" w:rsidP="0EF838D8" w:rsidRDefault="00B55D19" w14:paraId="5817F677" w14:textId="796CFECE"/>
    <w:p w:rsidR="00B55D19" w:rsidP="00B55D19" w:rsidRDefault="00B55D19" w14:paraId="1C076B1A" w14:textId="3213273E"/>
    <w:sectPr w:rsidR="00B55D19" w:rsidSect="00BB29E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663"/>
    <w:multiLevelType w:val="hybridMultilevel"/>
    <w:tmpl w:val="2C7AD22A"/>
    <w:lvl w:ilvl="0" w:tplc="26CE01CE">
      <w:start w:val="1"/>
      <w:numFmt w:val="upperLetter"/>
      <w:lvlText w:val="%1-"/>
      <w:lvlJc w:val="left"/>
      <w:pPr>
        <w:ind w:left="720" w:hanging="360"/>
      </w:pPr>
    </w:lvl>
    <w:lvl w:ilvl="1" w:tplc="8684F82E">
      <w:start w:val="1"/>
      <w:numFmt w:val="lowerLetter"/>
      <w:lvlText w:val="%2."/>
      <w:lvlJc w:val="left"/>
      <w:pPr>
        <w:ind w:left="1440" w:hanging="360"/>
      </w:pPr>
    </w:lvl>
    <w:lvl w:ilvl="2" w:tplc="A62A1958">
      <w:start w:val="1"/>
      <w:numFmt w:val="lowerRoman"/>
      <w:lvlText w:val="%3."/>
      <w:lvlJc w:val="right"/>
      <w:pPr>
        <w:ind w:left="2160" w:hanging="180"/>
      </w:pPr>
    </w:lvl>
    <w:lvl w:ilvl="3" w:tplc="84E26584">
      <w:start w:val="1"/>
      <w:numFmt w:val="decimal"/>
      <w:lvlText w:val="%4."/>
      <w:lvlJc w:val="left"/>
      <w:pPr>
        <w:ind w:left="2880" w:hanging="360"/>
      </w:pPr>
    </w:lvl>
    <w:lvl w:ilvl="4" w:tplc="11E868AC">
      <w:start w:val="1"/>
      <w:numFmt w:val="lowerLetter"/>
      <w:lvlText w:val="%5."/>
      <w:lvlJc w:val="left"/>
      <w:pPr>
        <w:ind w:left="3600" w:hanging="360"/>
      </w:pPr>
    </w:lvl>
    <w:lvl w:ilvl="5" w:tplc="EAF8B714">
      <w:start w:val="1"/>
      <w:numFmt w:val="lowerRoman"/>
      <w:lvlText w:val="%6."/>
      <w:lvlJc w:val="right"/>
      <w:pPr>
        <w:ind w:left="4320" w:hanging="180"/>
      </w:pPr>
    </w:lvl>
    <w:lvl w:ilvl="6" w:tplc="FE1ABBB4">
      <w:start w:val="1"/>
      <w:numFmt w:val="decimal"/>
      <w:lvlText w:val="%7."/>
      <w:lvlJc w:val="left"/>
      <w:pPr>
        <w:ind w:left="5040" w:hanging="360"/>
      </w:pPr>
    </w:lvl>
    <w:lvl w:ilvl="7" w:tplc="9F78491E">
      <w:start w:val="1"/>
      <w:numFmt w:val="lowerLetter"/>
      <w:lvlText w:val="%8."/>
      <w:lvlJc w:val="left"/>
      <w:pPr>
        <w:ind w:left="5760" w:hanging="360"/>
      </w:pPr>
    </w:lvl>
    <w:lvl w:ilvl="8" w:tplc="741272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47D3"/>
    <w:multiLevelType w:val="hybridMultilevel"/>
    <w:tmpl w:val="683E7CC2"/>
    <w:lvl w:ilvl="0" w:tplc="E5220D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E2F16"/>
    <w:multiLevelType w:val="hybridMultilevel"/>
    <w:tmpl w:val="75DABD68"/>
    <w:lvl w:ilvl="0" w:tplc="3B545C22">
      <w:start w:val="1"/>
      <w:numFmt w:val="upperRoman"/>
      <w:lvlText w:val="%1-"/>
      <w:lvlJc w:val="left"/>
      <w:pPr>
        <w:ind w:left="720" w:hanging="360"/>
      </w:pPr>
    </w:lvl>
    <w:lvl w:ilvl="1" w:tplc="E31C640A">
      <w:start w:val="1"/>
      <w:numFmt w:val="lowerLetter"/>
      <w:lvlText w:val="%2."/>
      <w:lvlJc w:val="left"/>
      <w:pPr>
        <w:ind w:left="1440" w:hanging="360"/>
      </w:pPr>
    </w:lvl>
    <w:lvl w:ilvl="2" w:tplc="6D32A83E">
      <w:start w:val="1"/>
      <w:numFmt w:val="lowerRoman"/>
      <w:lvlText w:val="%3."/>
      <w:lvlJc w:val="right"/>
      <w:pPr>
        <w:ind w:left="2160" w:hanging="180"/>
      </w:pPr>
    </w:lvl>
    <w:lvl w:ilvl="3" w:tplc="F58C8434">
      <w:start w:val="1"/>
      <w:numFmt w:val="decimal"/>
      <w:lvlText w:val="%4."/>
      <w:lvlJc w:val="left"/>
      <w:pPr>
        <w:ind w:left="2880" w:hanging="360"/>
      </w:pPr>
    </w:lvl>
    <w:lvl w:ilvl="4" w:tplc="4FFAA412">
      <w:start w:val="1"/>
      <w:numFmt w:val="lowerLetter"/>
      <w:lvlText w:val="%5."/>
      <w:lvlJc w:val="left"/>
      <w:pPr>
        <w:ind w:left="3600" w:hanging="360"/>
      </w:pPr>
    </w:lvl>
    <w:lvl w:ilvl="5" w:tplc="D3F62720">
      <w:start w:val="1"/>
      <w:numFmt w:val="lowerRoman"/>
      <w:lvlText w:val="%6."/>
      <w:lvlJc w:val="right"/>
      <w:pPr>
        <w:ind w:left="4320" w:hanging="180"/>
      </w:pPr>
    </w:lvl>
    <w:lvl w:ilvl="6" w:tplc="50B2423A">
      <w:start w:val="1"/>
      <w:numFmt w:val="decimal"/>
      <w:lvlText w:val="%7."/>
      <w:lvlJc w:val="left"/>
      <w:pPr>
        <w:ind w:left="5040" w:hanging="360"/>
      </w:pPr>
    </w:lvl>
    <w:lvl w:ilvl="7" w:tplc="21D65306">
      <w:start w:val="1"/>
      <w:numFmt w:val="lowerLetter"/>
      <w:lvlText w:val="%8."/>
      <w:lvlJc w:val="left"/>
      <w:pPr>
        <w:ind w:left="5760" w:hanging="360"/>
      </w:pPr>
    </w:lvl>
    <w:lvl w:ilvl="8" w:tplc="6826FA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015F"/>
    <w:multiLevelType w:val="hybridMultilevel"/>
    <w:tmpl w:val="FFFFFFFF"/>
    <w:lvl w:ilvl="0" w:tplc="9CD4FFBC">
      <w:start w:val="1"/>
      <w:numFmt w:val="upperLetter"/>
      <w:lvlText w:val="%1-"/>
      <w:lvlJc w:val="left"/>
      <w:pPr>
        <w:ind w:left="720" w:hanging="360"/>
      </w:pPr>
    </w:lvl>
    <w:lvl w:ilvl="1" w:tplc="6D862504">
      <w:start w:val="1"/>
      <w:numFmt w:val="lowerLetter"/>
      <w:lvlText w:val="%2."/>
      <w:lvlJc w:val="left"/>
      <w:pPr>
        <w:ind w:left="1440" w:hanging="360"/>
      </w:pPr>
    </w:lvl>
    <w:lvl w:ilvl="2" w:tplc="93688E06">
      <w:start w:val="1"/>
      <w:numFmt w:val="lowerRoman"/>
      <w:lvlText w:val="%3."/>
      <w:lvlJc w:val="right"/>
      <w:pPr>
        <w:ind w:left="2160" w:hanging="180"/>
      </w:pPr>
    </w:lvl>
    <w:lvl w:ilvl="3" w:tplc="25E8A8C8">
      <w:start w:val="1"/>
      <w:numFmt w:val="decimal"/>
      <w:lvlText w:val="%4."/>
      <w:lvlJc w:val="left"/>
      <w:pPr>
        <w:ind w:left="2880" w:hanging="360"/>
      </w:pPr>
    </w:lvl>
    <w:lvl w:ilvl="4" w:tplc="A0508458">
      <w:start w:val="1"/>
      <w:numFmt w:val="lowerLetter"/>
      <w:lvlText w:val="%5."/>
      <w:lvlJc w:val="left"/>
      <w:pPr>
        <w:ind w:left="3600" w:hanging="360"/>
      </w:pPr>
    </w:lvl>
    <w:lvl w:ilvl="5" w:tplc="B6CC3D62">
      <w:start w:val="1"/>
      <w:numFmt w:val="lowerRoman"/>
      <w:lvlText w:val="%6."/>
      <w:lvlJc w:val="right"/>
      <w:pPr>
        <w:ind w:left="4320" w:hanging="180"/>
      </w:pPr>
    </w:lvl>
    <w:lvl w:ilvl="6" w:tplc="69DE0BA2">
      <w:start w:val="1"/>
      <w:numFmt w:val="decimal"/>
      <w:lvlText w:val="%7."/>
      <w:lvlJc w:val="left"/>
      <w:pPr>
        <w:ind w:left="5040" w:hanging="360"/>
      </w:pPr>
    </w:lvl>
    <w:lvl w:ilvl="7" w:tplc="AF7832C0">
      <w:start w:val="1"/>
      <w:numFmt w:val="lowerLetter"/>
      <w:lvlText w:val="%8."/>
      <w:lvlJc w:val="left"/>
      <w:pPr>
        <w:ind w:left="5760" w:hanging="360"/>
      </w:pPr>
    </w:lvl>
    <w:lvl w:ilvl="8" w:tplc="6324E9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37D4D"/>
    <w:multiLevelType w:val="hybridMultilevel"/>
    <w:tmpl w:val="76DC7B06"/>
    <w:lvl w:ilvl="0" w:tplc="2CDA01DA">
      <w:start w:val="1"/>
      <w:numFmt w:val="decimal"/>
      <w:lvlText w:val="%1."/>
      <w:lvlJc w:val="left"/>
      <w:pPr>
        <w:ind w:left="720" w:hanging="360"/>
      </w:pPr>
    </w:lvl>
    <w:lvl w:ilvl="1" w:tplc="61961E74">
      <w:start w:val="1"/>
      <w:numFmt w:val="lowerLetter"/>
      <w:lvlText w:val="%2."/>
      <w:lvlJc w:val="left"/>
      <w:pPr>
        <w:ind w:left="1440" w:hanging="360"/>
      </w:pPr>
    </w:lvl>
    <w:lvl w:ilvl="2" w:tplc="A9CEB78A">
      <w:start w:val="1"/>
      <w:numFmt w:val="lowerRoman"/>
      <w:lvlText w:val="%3."/>
      <w:lvlJc w:val="right"/>
      <w:pPr>
        <w:ind w:left="2160" w:hanging="180"/>
      </w:pPr>
    </w:lvl>
    <w:lvl w:ilvl="3" w:tplc="D36E9962">
      <w:start w:val="1"/>
      <w:numFmt w:val="decimal"/>
      <w:lvlText w:val="%4."/>
      <w:lvlJc w:val="left"/>
      <w:pPr>
        <w:ind w:left="2880" w:hanging="360"/>
      </w:pPr>
    </w:lvl>
    <w:lvl w:ilvl="4" w:tplc="F2925174">
      <w:start w:val="1"/>
      <w:numFmt w:val="lowerLetter"/>
      <w:lvlText w:val="%5."/>
      <w:lvlJc w:val="left"/>
      <w:pPr>
        <w:ind w:left="3600" w:hanging="360"/>
      </w:pPr>
    </w:lvl>
    <w:lvl w:ilvl="5" w:tplc="3DA0AE9A">
      <w:start w:val="1"/>
      <w:numFmt w:val="lowerRoman"/>
      <w:lvlText w:val="%6."/>
      <w:lvlJc w:val="right"/>
      <w:pPr>
        <w:ind w:left="4320" w:hanging="180"/>
      </w:pPr>
    </w:lvl>
    <w:lvl w:ilvl="6" w:tplc="B486F252">
      <w:start w:val="1"/>
      <w:numFmt w:val="decimal"/>
      <w:lvlText w:val="%7."/>
      <w:lvlJc w:val="left"/>
      <w:pPr>
        <w:ind w:left="5040" w:hanging="360"/>
      </w:pPr>
    </w:lvl>
    <w:lvl w:ilvl="7" w:tplc="F68016A0">
      <w:start w:val="1"/>
      <w:numFmt w:val="lowerLetter"/>
      <w:lvlText w:val="%8."/>
      <w:lvlJc w:val="left"/>
      <w:pPr>
        <w:ind w:left="5760" w:hanging="360"/>
      </w:pPr>
    </w:lvl>
    <w:lvl w:ilvl="8" w:tplc="421EDB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EE5A45"/>
    <w:multiLevelType w:val="hybridMultilevel"/>
    <w:tmpl w:val="FFFFFFFF"/>
    <w:lvl w:ilvl="0" w:tplc="9FDC225C">
      <w:start w:val="1"/>
      <w:numFmt w:val="decimal"/>
      <w:lvlText w:val="%1."/>
      <w:lvlJc w:val="left"/>
      <w:pPr>
        <w:ind w:left="720" w:hanging="360"/>
      </w:pPr>
    </w:lvl>
    <w:lvl w:ilvl="1" w:tplc="92403B2E">
      <w:start w:val="1"/>
      <w:numFmt w:val="lowerLetter"/>
      <w:lvlText w:val="%2."/>
      <w:lvlJc w:val="left"/>
      <w:pPr>
        <w:ind w:left="1440" w:hanging="360"/>
      </w:pPr>
    </w:lvl>
    <w:lvl w:ilvl="2" w:tplc="BCD6E610">
      <w:start w:val="1"/>
      <w:numFmt w:val="lowerRoman"/>
      <w:lvlText w:val="%3."/>
      <w:lvlJc w:val="right"/>
      <w:pPr>
        <w:ind w:left="2160" w:hanging="180"/>
      </w:pPr>
    </w:lvl>
    <w:lvl w:ilvl="3" w:tplc="B31004F2">
      <w:start w:val="1"/>
      <w:numFmt w:val="decimal"/>
      <w:lvlText w:val="%4."/>
      <w:lvlJc w:val="left"/>
      <w:pPr>
        <w:ind w:left="2880" w:hanging="360"/>
      </w:pPr>
    </w:lvl>
    <w:lvl w:ilvl="4" w:tplc="2C2A8AD2">
      <w:start w:val="1"/>
      <w:numFmt w:val="lowerLetter"/>
      <w:lvlText w:val="%5."/>
      <w:lvlJc w:val="left"/>
      <w:pPr>
        <w:ind w:left="3600" w:hanging="360"/>
      </w:pPr>
    </w:lvl>
    <w:lvl w:ilvl="5" w:tplc="3B326916">
      <w:start w:val="1"/>
      <w:numFmt w:val="lowerRoman"/>
      <w:lvlText w:val="%6."/>
      <w:lvlJc w:val="right"/>
      <w:pPr>
        <w:ind w:left="4320" w:hanging="180"/>
      </w:pPr>
    </w:lvl>
    <w:lvl w:ilvl="6" w:tplc="DD92D672">
      <w:start w:val="1"/>
      <w:numFmt w:val="decimal"/>
      <w:lvlText w:val="%7."/>
      <w:lvlJc w:val="left"/>
      <w:pPr>
        <w:ind w:left="5040" w:hanging="360"/>
      </w:pPr>
    </w:lvl>
    <w:lvl w:ilvl="7" w:tplc="5CD60988">
      <w:start w:val="1"/>
      <w:numFmt w:val="lowerLetter"/>
      <w:lvlText w:val="%8."/>
      <w:lvlJc w:val="left"/>
      <w:pPr>
        <w:ind w:left="5760" w:hanging="360"/>
      </w:pPr>
    </w:lvl>
    <w:lvl w:ilvl="8" w:tplc="250A61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1086A"/>
    <w:multiLevelType w:val="hybridMultilevel"/>
    <w:tmpl w:val="6B58A0B4"/>
    <w:lvl w:ilvl="0" w:tplc="13D086A2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E5B62"/>
    <w:multiLevelType w:val="hybridMultilevel"/>
    <w:tmpl w:val="E65629B8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867F23"/>
    <w:multiLevelType w:val="hybridMultilevel"/>
    <w:tmpl w:val="7702F506"/>
    <w:lvl w:ilvl="0" w:tplc="040C0013">
      <w:start w:val="1"/>
      <w:numFmt w:val="upperRoman"/>
      <w:lvlText w:val="%1."/>
      <w:lvlJc w:val="righ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5E3B38EE"/>
    <w:multiLevelType w:val="hybridMultilevel"/>
    <w:tmpl w:val="95B85A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F2086"/>
    <w:multiLevelType w:val="hybridMultilevel"/>
    <w:tmpl w:val="AC8A991A"/>
    <w:lvl w:ilvl="0" w:tplc="02A24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1E2489"/>
    <w:multiLevelType w:val="hybridMultilevel"/>
    <w:tmpl w:val="F02C823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84A62"/>
    <w:multiLevelType w:val="hybridMultilevel"/>
    <w:tmpl w:val="648239F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673C9"/>
    <w:multiLevelType w:val="hybridMultilevel"/>
    <w:tmpl w:val="9EE424C0"/>
    <w:lvl w:ilvl="0" w:tplc="FEE07AF6">
      <w:start w:val="4"/>
      <w:numFmt w:val="upperRoman"/>
      <w:lvlText w:val="%1."/>
      <w:lvlJc w:val="left"/>
      <w:pPr>
        <w:ind w:left="113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862745564">
    <w:abstractNumId w:val="10"/>
  </w:num>
  <w:num w:numId="2" w16cid:durableId="1665938873">
    <w:abstractNumId w:val="9"/>
  </w:num>
  <w:num w:numId="3" w16cid:durableId="551115434">
    <w:abstractNumId w:val="1"/>
  </w:num>
  <w:num w:numId="4" w16cid:durableId="1894467686">
    <w:abstractNumId w:val="7"/>
  </w:num>
  <w:num w:numId="5" w16cid:durableId="1348292179">
    <w:abstractNumId w:val="4"/>
  </w:num>
  <w:num w:numId="6" w16cid:durableId="314915450">
    <w:abstractNumId w:val="0"/>
  </w:num>
  <w:num w:numId="7" w16cid:durableId="1461075671">
    <w:abstractNumId w:val="5"/>
  </w:num>
  <w:num w:numId="8" w16cid:durableId="1818955547">
    <w:abstractNumId w:val="3"/>
  </w:num>
  <w:num w:numId="9" w16cid:durableId="62991335">
    <w:abstractNumId w:val="2"/>
  </w:num>
  <w:num w:numId="10" w16cid:durableId="283272458">
    <w:abstractNumId w:val="6"/>
  </w:num>
  <w:num w:numId="11" w16cid:durableId="1787890307">
    <w:abstractNumId w:val="11"/>
  </w:num>
  <w:num w:numId="12" w16cid:durableId="1692222023">
    <w:abstractNumId w:val="12"/>
  </w:num>
  <w:num w:numId="13" w16cid:durableId="701438759">
    <w:abstractNumId w:val="8"/>
  </w:num>
  <w:num w:numId="14" w16cid:durableId="11990054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0B"/>
    <w:rsid w:val="00015C81"/>
    <w:rsid w:val="0001EEDD"/>
    <w:rsid w:val="000268E1"/>
    <w:rsid w:val="0003494F"/>
    <w:rsid w:val="000369F2"/>
    <w:rsid w:val="000423B0"/>
    <w:rsid w:val="00042D1B"/>
    <w:rsid w:val="00045779"/>
    <w:rsid w:val="0005465B"/>
    <w:rsid w:val="000572E7"/>
    <w:rsid w:val="00072A9D"/>
    <w:rsid w:val="00081DD8"/>
    <w:rsid w:val="00082DCF"/>
    <w:rsid w:val="00091D95"/>
    <w:rsid w:val="00096F69"/>
    <w:rsid w:val="000A61B7"/>
    <w:rsid w:val="000B77E4"/>
    <w:rsid w:val="000B7DF8"/>
    <w:rsid w:val="000C6230"/>
    <w:rsid w:val="000D633B"/>
    <w:rsid w:val="000F2908"/>
    <w:rsid w:val="000F6DA3"/>
    <w:rsid w:val="000F716F"/>
    <w:rsid w:val="00100889"/>
    <w:rsid w:val="00103469"/>
    <w:rsid w:val="001058E5"/>
    <w:rsid w:val="00116116"/>
    <w:rsid w:val="00117420"/>
    <w:rsid w:val="00117C47"/>
    <w:rsid w:val="00133BEC"/>
    <w:rsid w:val="0013671D"/>
    <w:rsid w:val="001429A0"/>
    <w:rsid w:val="001523E0"/>
    <w:rsid w:val="00161EB3"/>
    <w:rsid w:val="00163B76"/>
    <w:rsid w:val="00193153"/>
    <w:rsid w:val="001943D8"/>
    <w:rsid w:val="001A1334"/>
    <w:rsid w:val="001B6BFB"/>
    <w:rsid w:val="001B7D84"/>
    <w:rsid w:val="001E1BD2"/>
    <w:rsid w:val="001F0F59"/>
    <w:rsid w:val="001F17A7"/>
    <w:rsid w:val="001F633B"/>
    <w:rsid w:val="00213730"/>
    <w:rsid w:val="00213D3B"/>
    <w:rsid w:val="0021421A"/>
    <w:rsid w:val="0021736C"/>
    <w:rsid w:val="002203C8"/>
    <w:rsid w:val="0023065B"/>
    <w:rsid w:val="00231139"/>
    <w:rsid w:val="00231C6E"/>
    <w:rsid w:val="0023204E"/>
    <w:rsid w:val="0023384F"/>
    <w:rsid w:val="00234B58"/>
    <w:rsid w:val="00235A5D"/>
    <w:rsid w:val="0024025E"/>
    <w:rsid w:val="00243408"/>
    <w:rsid w:val="0024441F"/>
    <w:rsid w:val="00256755"/>
    <w:rsid w:val="00260E09"/>
    <w:rsid w:val="0028295C"/>
    <w:rsid w:val="00285CE1"/>
    <w:rsid w:val="00290E23"/>
    <w:rsid w:val="002A07AA"/>
    <w:rsid w:val="002A3A4C"/>
    <w:rsid w:val="002A46FA"/>
    <w:rsid w:val="002B7260"/>
    <w:rsid w:val="002C0F4A"/>
    <w:rsid w:val="002C381D"/>
    <w:rsid w:val="002C6716"/>
    <w:rsid w:val="002D337E"/>
    <w:rsid w:val="002D6F85"/>
    <w:rsid w:val="002E0780"/>
    <w:rsid w:val="002F2017"/>
    <w:rsid w:val="00304A2C"/>
    <w:rsid w:val="00305D9E"/>
    <w:rsid w:val="00307EED"/>
    <w:rsid w:val="00313A89"/>
    <w:rsid w:val="00315DFF"/>
    <w:rsid w:val="003168B2"/>
    <w:rsid w:val="00320510"/>
    <w:rsid w:val="00322C27"/>
    <w:rsid w:val="00330EDE"/>
    <w:rsid w:val="00333B45"/>
    <w:rsid w:val="00341A91"/>
    <w:rsid w:val="00342FB1"/>
    <w:rsid w:val="003440C2"/>
    <w:rsid w:val="00346F70"/>
    <w:rsid w:val="00356C4B"/>
    <w:rsid w:val="00367302"/>
    <w:rsid w:val="00370A80"/>
    <w:rsid w:val="00371E79"/>
    <w:rsid w:val="00375992"/>
    <w:rsid w:val="00376398"/>
    <w:rsid w:val="0037792C"/>
    <w:rsid w:val="00377D73"/>
    <w:rsid w:val="0039548E"/>
    <w:rsid w:val="003975B3"/>
    <w:rsid w:val="003A2EA8"/>
    <w:rsid w:val="003A4DD7"/>
    <w:rsid w:val="003B417A"/>
    <w:rsid w:val="003B6403"/>
    <w:rsid w:val="003C7F05"/>
    <w:rsid w:val="003D2C72"/>
    <w:rsid w:val="003F74C2"/>
    <w:rsid w:val="0040503C"/>
    <w:rsid w:val="00405864"/>
    <w:rsid w:val="0041037B"/>
    <w:rsid w:val="004107DC"/>
    <w:rsid w:val="004171F4"/>
    <w:rsid w:val="00417FCA"/>
    <w:rsid w:val="00421236"/>
    <w:rsid w:val="004306CB"/>
    <w:rsid w:val="00435954"/>
    <w:rsid w:val="004373B5"/>
    <w:rsid w:val="00442F37"/>
    <w:rsid w:val="00446375"/>
    <w:rsid w:val="00450573"/>
    <w:rsid w:val="00451456"/>
    <w:rsid w:val="00451C6B"/>
    <w:rsid w:val="0045232B"/>
    <w:rsid w:val="00454DA2"/>
    <w:rsid w:val="00484616"/>
    <w:rsid w:val="0048638A"/>
    <w:rsid w:val="004879A6"/>
    <w:rsid w:val="00492FCD"/>
    <w:rsid w:val="00494612"/>
    <w:rsid w:val="00495DD9"/>
    <w:rsid w:val="004B2707"/>
    <w:rsid w:val="004F591B"/>
    <w:rsid w:val="004F6A75"/>
    <w:rsid w:val="005064A6"/>
    <w:rsid w:val="00507F53"/>
    <w:rsid w:val="005134A8"/>
    <w:rsid w:val="00531D58"/>
    <w:rsid w:val="00531DBF"/>
    <w:rsid w:val="00534671"/>
    <w:rsid w:val="005357A1"/>
    <w:rsid w:val="00540A7C"/>
    <w:rsid w:val="00542267"/>
    <w:rsid w:val="00550A94"/>
    <w:rsid w:val="0055411B"/>
    <w:rsid w:val="005766BC"/>
    <w:rsid w:val="00576EAA"/>
    <w:rsid w:val="00590C3B"/>
    <w:rsid w:val="005913DB"/>
    <w:rsid w:val="005A502A"/>
    <w:rsid w:val="005B59A7"/>
    <w:rsid w:val="005C6C6A"/>
    <w:rsid w:val="005D6D24"/>
    <w:rsid w:val="005E4B51"/>
    <w:rsid w:val="005F502C"/>
    <w:rsid w:val="005F52EC"/>
    <w:rsid w:val="005F5424"/>
    <w:rsid w:val="006064D9"/>
    <w:rsid w:val="0061357C"/>
    <w:rsid w:val="0063280B"/>
    <w:rsid w:val="00636193"/>
    <w:rsid w:val="006545BA"/>
    <w:rsid w:val="00661F87"/>
    <w:rsid w:val="006666F2"/>
    <w:rsid w:val="00670AD3"/>
    <w:rsid w:val="00674772"/>
    <w:rsid w:val="006755CA"/>
    <w:rsid w:val="006904B6"/>
    <w:rsid w:val="00694743"/>
    <w:rsid w:val="006A4F1C"/>
    <w:rsid w:val="006B6842"/>
    <w:rsid w:val="006C0122"/>
    <w:rsid w:val="006D47F0"/>
    <w:rsid w:val="006E02F3"/>
    <w:rsid w:val="006E19DD"/>
    <w:rsid w:val="006E48EA"/>
    <w:rsid w:val="006F0E07"/>
    <w:rsid w:val="006F1109"/>
    <w:rsid w:val="00722DDC"/>
    <w:rsid w:val="007245A4"/>
    <w:rsid w:val="00730D12"/>
    <w:rsid w:val="00737DC0"/>
    <w:rsid w:val="00737FF9"/>
    <w:rsid w:val="0074312A"/>
    <w:rsid w:val="00753E12"/>
    <w:rsid w:val="00755B6B"/>
    <w:rsid w:val="00760DC1"/>
    <w:rsid w:val="00761224"/>
    <w:rsid w:val="00764E26"/>
    <w:rsid w:val="00771F27"/>
    <w:rsid w:val="00772EBB"/>
    <w:rsid w:val="007739F1"/>
    <w:rsid w:val="00776B79"/>
    <w:rsid w:val="007838A3"/>
    <w:rsid w:val="00791FA8"/>
    <w:rsid w:val="007A060B"/>
    <w:rsid w:val="007A180E"/>
    <w:rsid w:val="007A4F8E"/>
    <w:rsid w:val="007B5C26"/>
    <w:rsid w:val="007C0B34"/>
    <w:rsid w:val="007C268D"/>
    <w:rsid w:val="007C2EA5"/>
    <w:rsid w:val="007C4BF4"/>
    <w:rsid w:val="007C732F"/>
    <w:rsid w:val="007E0C95"/>
    <w:rsid w:val="007E3F2F"/>
    <w:rsid w:val="007E492C"/>
    <w:rsid w:val="007F3E88"/>
    <w:rsid w:val="007F5E42"/>
    <w:rsid w:val="0080048F"/>
    <w:rsid w:val="00804420"/>
    <w:rsid w:val="008121B1"/>
    <w:rsid w:val="0081636C"/>
    <w:rsid w:val="00820F90"/>
    <w:rsid w:val="008231E5"/>
    <w:rsid w:val="00836A76"/>
    <w:rsid w:val="00846438"/>
    <w:rsid w:val="00847521"/>
    <w:rsid w:val="00855280"/>
    <w:rsid w:val="00862481"/>
    <w:rsid w:val="00866B7B"/>
    <w:rsid w:val="00872FF5"/>
    <w:rsid w:val="0087319A"/>
    <w:rsid w:val="0089120C"/>
    <w:rsid w:val="00894405"/>
    <w:rsid w:val="0089472B"/>
    <w:rsid w:val="008A12FC"/>
    <w:rsid w:val="008A1ABE"/>
    <w:rsid w:val="008A4817"/>
    <w:rsid w:val="008A7346"/>
    <w:rsid w:val="008B565D"/>
    <w:rsid w:val="008C2417"/>
    <w:rsid w:val="008C2535"/>
    <w:rsid w:val="008C255A"/>
    <w:rsid w:val="008D06B5"/>
    <w:rsid w:val="008D135C"/>
    <w:rsid w:val="008D1EAC"/>
    <w:rsid w:val="008D52AE"/>
    <w:rsid w:val="008D756D"/>
    <w:rsid w:val="008D7E15"/>
    <w:rsid w:val="008E0133"/>
    <w:rsid w:val="008E10D7"/>
    <w:rsid w:val="00904AD9"/>
    <w:rsid w:val="00904B87"/>
    <w:rsid w:val="0091081F"/>
    <w:rsid w:val="00912D3A"/>
    <w:rsid w:val="009134A5"/>
    <w:rsid w:val="009139AA"/>
    <w:rsid w:val="009163D6"/>
    <w:rsid w:val="00916959"/>
    <w:rsid w:val="009447BC"/>
    <w:rsid w:val="00944A87"/>
    <w:rsid w:val="00947EDD"/>
    <w:rsid w:val="0096191B"/>
    <w:rsid w:val="009628C6"/>
    <w:rsid w:val="00984BC6"/>
    <w:rsid w:val="00987380"/>
    <w:rsid w:val="009931AC"/>
    <w:rsid w:val="009945A8"/>
    <w:rsid w:val="009B1E9B"/>
    <w:rsid w:val="009C01F4"/>
    <w:rsid w:val="009C4268"/>
    <w:rsid w:val="009C59A8"/>
    <w:rsid w:val="009C5B4C"/>
    <w:rsid w:val="009C5D0B"/>
    <w:rsid w:val="00A011EF"/>
    <w:rsid w:val="00A1026E"/>
    <w:rsid w:val="00A15250"/>
    <w:rsid w:val="00A16F3B"/>
    <w:rsid w:val="00A23B61"/>
    <w:rsid w:val="00A25C03"/>
    <w:rsid w:val="00A4040A"/>
    <w:rsid w:val="00A42DE8"/>
    <w:rsid w:val="00A44E11"/>
    <w:rsid w:val="00A5155A"/>
    <w:rsid w:val="00A530B7"/>
    <w:rsid w:val="00A7016E"/>
    <w:rsid w:val="00A86BDF"/>
    <w:rsid w:val="00AA2B48"/>
    <w:rsid w:val="00AB4273"/>
    <w:rsid w:val="00AB5EAE"/>
    <w:rsid w:val="00AD0BD2"/>
    <w:rsid w:val="00AD2882"/>
    <w:rsid w:val="00AD789B"/>
    <w:rsid w:val="00AE6E12"/>
    <w:rsid w:val="00AF0035"/>
    <w:rsid w:val="00AF33AF"/>
    <w:rsid w:val="00B0612D"/>
    <w:rsid w:val="00B20AB3"/>
    <w:rsid w:val="00B24A20"/>
    <w:rsid w:val="00B24FCB"/>
    <w:rsid w:val="00B26970"/>
    <w:rsid w:val="00B33356"/>
    <w:rsid w:val="00B33FF2"/>
    <w:rsid w:val="00B47E1D"/>
    <w:rsid w:val="00B500C7"/>
    <w:rsid w:val="00B55BC2"/>
    <w:rsid w:val="00B55D19"/>
    <w:rsid w:val="00B57BE0"/>
    <w:rsid w:val="00B57E6D"/>
    <w:rsid w:val="00B615A8"/>
    <w:rsid w:val="00B74558"/>
    <w:rsid w:val="00B87022"/>
    <w:rsid w:val="00B92007"/>
    <w:rsid w:val="00BA77B5"/>
    <w:rsid w:val="00BB29E9"/>
    <w:rsid w:val="00BC3048"/>
    <w:rsid w:val="00BC46C0"/>
    <w:rsid w:val="00BC7353"/>
    <w:rsid w:val="00BDE79B"/>
    <w:rsid w:val="00BE2708"/>
    <w:rsid w:val="00BE2EE9"/>
    <w:rsid w:val="00BE4A00"/>
    <w:rsid w:val="00BF71FF"/>
    <w:rsid w:val="00C020E6"/>
    <w:rsid w:val="00C10A75"/>
    <w:rsid w:val="00C2221D"/>
    <w:rsid w:val="00C26CCC"/>
    <w:rsid w:val="00C32057"/>
    <w:rsid w:val="00C36D19"/>
    <w:rsid w:val="00C40E12"/>
    <w:rsid w:val="00C447BC"/>
    <w:rsid w:val="00C55145"/>
    <w:rsid w:val="00C572FA"/>
    <w:rsid w:val="00C633EE"/>
    <w:rsid w:val="00C65EA2"/>
    <w:rsid w:val="00C6756B"/>
    <w:rsid w:val="00C67841"/>
    <w:rsid w:val="00C73182"/>
    <w:rsid w:val="00C924EA"/>
    <w:rsid w:val="00C93DF9"/>
    <w:rsid w:val="00C95F43"/>
    <w:rsid w:val="00CA2038"/>
    <w:rsid w:val="00CB61DE"/>
    <w:rsid w:val="00CC0391"/>
    <w:rsid w:val="00CC6668"/>
    <w:rsid w:val="00CD3297"/>
    <w:rsid w:val="00CE1AFB"/>
    <w:rsid w:val="00CE1D13"/>
    <w:rsid w:val="00CF033C"/>
    <w:rsid w:val="00CF6479"/>
    <w:rsid w:val="00D011D8"/>
    <w:rsid w:val="00D031A5"/>
    <w:rsid w:val="00D07FB9"/>
    <w:rsid w:val="00D22E52"/>
    <w:rsid w:val="00D31A24"/>
    <w:rsid w:val="00D34619"/>
    <w:rsid w:val="00D46BE3"/>
    <w:rsid w:val="00D47BC5"/>
    <w:rsid w:val="00D52A86"/>
    <w:rsid w:val="00D56902"/>
    <w:rsid w:val="00D57A73"/>
    <w:rsid w:val="00D64312"/>
    <w:rsid w:val="00D67560"/>
    <w:rsid w:val="00D70B3E"/>
    <w:rsid w:val="00D76CAB"/>
    <w:rsid w:val="00D82AFD"/>
    <w:rsid w:val="00D836E9"/>
    <w:rsid w:val="00D95AC5"/>
    <w:rsid w:val="00DA5F2D"/>
    <w:rsid w:val="00DB2A25"/>
    <w:rsid w:val="00DB7394"/>
    <w:rsid w:val="00DD0C16"/>
    <w:rsid w:val="00DD2F6B"/>
    <w:rsid w:val="00DD3C82"/>
    <w:rsid w:val="00DE1571"/>
    <w:rsid w:val="00DE1D9F"/>
    <w:rsid w:val="00DE1EAC"/>
    <w:rsid w:val="00DE322F"/>
    <w:rsid w:val="00DF5589"/>
    <w:rsid w:val="00E05309"/>
    <w:rsid w:val="00E06D32"/>
    <w:rsid w:val="00E13C8C"/>
    <w:rsid w:val="00E1531A"/>
    <w:rsid w:val="00E31000"/>
    <w:rsid w:val="00E373F0"/>
    <w:rsid w:val="00E421EA"/>
    <w:rsid w:val="00E435FC"/>
    <w:rsid w:val="00E51E66"/>
    <w:rsid w:val="00E54411"/>
    <w:rsid w:val="00E640F5"/>
    <w:rsid w:val="00E6761C"/>
    <w:rsid w:val="00E7205A"/>
    <w:rsid w:val="00E87A88"/>
    <w:rsid w:val="00EA633B"/>
    <w:rsid w:val="00ED3224"/>
    <w:rsid w:val="00ED396A"/>
    <w:rsid w:val="00ED702A"/>
    <w:rsid w:val="00EE7FBD"/>
    <w:rsid w:val="00EF119F"/>
    <w:rsid w:val="00F12D2B"/>
    <w:rsid w:val="00F13873"/>
    <w:rsid w:val="00F14DA4"/>
    <w:rsid w:val="00F15CE1"/>
    <w:rsid w:val="00F31E9D"/>
    <w:rsid w:val="00F330D4"/>
    <w:rsid w:val="00F33A91"/>
    <w:rsid w:val="00F427AC"/>
    <w:rsid w:val="00F464CA"/>
    <w:rsid w:val="00F54ED0"/>
    <w:rsid w:val="00F63B83"/>
    <w:rsid w:val="00F72058"/>
    <w:rsid w:val="00F72430"/>
    <w:rsid w:val="00F7591D"/>
    <w:rsid w:val="00F82DAC"/>
    <w:rsid w:val="00F82F43"/>
    <w:rsid w:val="00F83167"/>
    <w:rsid w:val="00F85C76"/>
    <w:rsid w:val="00F9143A"/>
    <w:rsid w:val="00F92060"/>
    <w:rsid w:val="00F94AB6"/>
    <w:rsid w:val="00FA244D"/>
    <w:rsid w:val="00FB6FAF"/>
    <w:rsid w:val="00FC4475"/>
    <w:rsid w:val="00FC60AB"/>
    <w:rsid w:val="00FD1456"/>
    <w:rsid w:val="00FE3D15"/>
    <w:rsid w:val="00FF1076"/>
    <w:rsid w:val="01F345D2"/>
    <w:rsid w:val="0211C84A"/>
    <w:rsid w:val="0218A62B"/>
    <w:rsid w:val="0322DB4D"/>
    <w:rsid w:val="03489486"/>
    <w:rsid w:val="03645DAC"/>
    <w:rsid w:val="038E1A14"/>
    <w:rsid w:val="03F5885D"/>
    <w:rsid w:val="042560A6"/>
    <w:rsid w:val="04615E9C"/>
    <w:rsid w:val="04B0E21B"/>
    <w:rsid w:val="04CD607A"/>
    <w:rsid w:val="0549690C"/>
    <w:rsid w:val="0587ACF8"/>
    <w:rsid w:val="064B6B4C"/>
    <w:rsid w:val="066B95DA"/>
    <w:rsid w:val="069BFE6E"/>
    <w:rsid w:val="06BDFE62"/>
    <w:rsid w:val="06E5396D"/>
    <w:rsid w:val="07A4C851"/>
    <w:rsid w:val="07E48AEB"/>
    <w:rsid w:val="08CB5760"/>
    <w:rsid w:val="09050DF7"/>
    <w:rsid w:val="091D1877"/>
    <w:rsid w:val="097D2986"/>
    <w:rsid w:val="0989A998"/>
    <w:rsid w:val="09C5C8F0"/>
    <w:rsid w:val="09D68B39"/>
    <w:rsid w:val="0A4EDB72"/>
    <w:rsid w:val="0A6B3A89"/>
    <w:rsid w:val="0A7424BA"/>
    <w:rsid w:val="0AF2882A"/>
    <w:rsid w:val="0B57006A"/>
    <w:rsid w:val="0B619951"/>
    <w:rsid w:val="0B65DD61"/>
    <w:rsid w:val="0BA4AD32"/>
    <w:rsid w:val="0BB14E50"/>
    <w:rsid w:val="0C3AE94C"/>
    <w:rsid w:val="0C3C4A12"/>
    <w:rsid w:val="0C4E4F32"/>
    <w:rsid w:val="0C533C41"/>
    <w:rsid w:val="0C54B939"/>
    <w:rsid w:val="0C993A6E"/>
    <w:rsid w:val="0CA22318"/>
    <w:rsid w:val="0CD64596"/>
    <w:rsid w:val="0D2193BA"/>
    <w:rsid w:val="0D4D1EB1"/>
    <w:rsid w:val="0E1D7609"/>
    <w:rsid w:val="0E3E9C04"/>
    <w:rsid w:val="0EF838D8"/>
    <w:rsid w:val="0F0436EB"/>
    <w:rsid w:val="0F0DC720"/>
    <w:rsid w:val="0F2CFBA7"/>
    <w:rsid w:val="0F3A6D40"/>
    <w:rsid w:val="0F50F814"/>
    <w:rsid w:val="0F7D001D"/>
    <w:rsid w:val="0F8C59FB"/>
    <w:rsid w:val="0FB999F6"/>
    <w:rsid w:val="1090ECA3"/>
    <w:rsid w:val="117B76B1"/>
    <w:rsid w:val="11DA1713"/>
    <w:rsid w:val="122C7F9B"/>
    <w:rsid w:val="122DB04A"/>
    <w:rsid w:val="1271B43C"/>
    <w:rsid w:val="129FA4BB"/>
    <w:rsid w:val="12DB23AF"/>
    <w:rsid w:val="1322BEEA"/>
    <w:rsid w:val="1331DBDA"/>
    <w:rsid w:val="13838D9D"/>
    <w:rsid w:val="1424E649"/>
    <w:rsid w:val="14417242"/>
    <w:rsid w:val="149E570B"/>
    <w:rsid w:val="14B7582A"/>
    <w:rsid w:val="150AF161"/>
    <w:rsid w:val="154CC027"/>
    <w:rsid w:val="15A1CCD1"/>
    <w:rsid w:val="15B86ECB"/>
    <w:rsid w:val="163FE9E3"/>
    <w:rsid w:val="16D786C3"/>
    <w:rsid w:val="171DDE78"/>
    <w:rsid w:val="17718247"/>
    <w:rsid w:val="1893DF2C"/>
    <w:rsid w:val="191B0918"/>
    <w:rsid w:val="19893C31"/>
    <w:rsid w:val="1997D7FE"/>
    <w:rsid w:val="1A314DBC"/>
    <w:rsid w:val="1A41B4AD"/>
    <w:rsid w:val="1AAEE2C6"/>
    <w:rsid w:val="1AB01375"/>
    <w:rsid w:val="1ABC429A"/>
    <w:rsid w:val="1AC45D90"/>
    <w:rsid w:val="1BC3D24E"/>
    <w:rsid w:val="1BEA9C98"/>
    <w:rsid w:val="1BEAB7E6"/>
    <w:rsid w:val="1C2E066B"/>
    <w:rsid w:val="1D02D80F"/>
    <w:rsid w:val="1D27E603"/>
    <w:rsid w:val="1D6FB997"/>
    <w:rsid w:val="1D8677DA"/>
    <w:rsid w:val="1D9B00D4"/>
    <w:rsid w:val="1DA0F521"/>
    <w:rsid w:val="1E064242"/>
    <w:rsid w:val="1E3E864E"/>
    <w:rsid w:val="1EA4EC34"/>
    <w:rsid w:val="1EDCAEF3"/>
    <w:rsid w:val="1F226F30"/>
    <w:rsid w:val="1F936782"/>
    <w:rsid w:val="1FAA6B4B"/>
    <w:rsid w:val="20185D32"/>
    <w:rsid w:val="2025D963"/>
    <w:rsid w:val="20B755A0"/>
    <w:rsid w:val="212AA45C"/>
    <w:rsid w:val="213098A9"/>
    <w:rsid w:val="216D3E66"/>
    <w:rsid w:val="2266EA13"/>
    <w:rsid w:val="22951844"/>
    <w:rsid w:val="231EAA9D"/>
    <w:rsid w:val="2342FB47"/>
    <w:rsid w:val="23A89832"/>
    <w:rsid w:val="247BDCBA"/>
    <w:rsid w:val="24A0B75A"/>
    <w:rsid w:val="24AC0265"/>
    <w:rsid w:val="24F7AC57"/>
    <w:rsid w:val="25455BD9"/>
    <w:rsid w:val="255013C4"/>
    <w:rsid w:val="2554EF95"/>
    <w:rsid w:val="259189BF"/>
    <w:rsid w:val="25C82F53"/>
    <w:rsid w:val="25E7B0A4"/>
    <w:rsid w:val="2648C60C"/>
    <w:rsid w:val="269AAA8D"/>
    <w:rsid w:val="26E0301B"/>
    <w:rsid w:val="26E06ACA"/>
    <w:rsid w:val="26F2978F"/>
    <w:rsid w:val="27E3D4FD"/>
    <w:rsid w:val="2817ECE3"/>
    <w:rsid w:val="2832A61D"/>
    <w:rsid w:val="28661307"/>
    <w:rsid w:val="28F60B5D"/>
    <w:rsid w:val="28FC4345"/>
    <w:rsid w:val="290301DB"/>
    <w:rsid w:val="29E9D447"/>
    <w:rsid w:val="2A101469"/>
    <w:rsid w:val="2A2EA433"/>
    <w:rsid w:val="2A4B302C"/>
    <w:rsid w:val="2AABE9C6"/>
    <w:rsid w:val="2B0BA33C"/>
    <w:rsid w:val="2B14AF4B"/>
    <w:rsid w:val="2B22FDEC"/>
    <w:rsid w:val="2B567E11"/>
    <w:rsid w:val="2C246FF0"/>
    <w:rsid w:val="2C3BBB62"/>
    <w:rsid w:val="2C4DAEBD"/>
    <w:rsid w:val="2C5723FE"/>
    <w:rsid w:val="2C9C4DBE"/>
    <w:rsid w:val="2CAC6486"/>
    <w:rsid w:val="2D51FBC9"/>
    <w:rsid w:val="2D521FA7"/>
    <w:rsid w:val="2DA5AC3E"/>
    <w:rsid w:val="2DE97F1E"/>
    <w:rsid w:val="2E634AA1"/>
    <w:rsid w:val="2E7D4595"/>
    <w:rsid w:val="2E7D79B5"/>
    <w:rsid w:val="2EA91671"/>
    <w:rsid w:val="2F17196B"/>
    <w:rsid w:val="2F654CE1"/>
    <w:rsid w:val="2FC8D746"/>
    <w:rsid w:val="2FEB5075"/>
    <w:rsid w:val="30788592"/>
    <w:rsid w:val="31011D42"/>
    <w:rsid w:val="31211FE0"/>
    <w:rsid w:val="3136B08C"/>
    <w:rsid w:val="319AEB63"/>
    <w:rsid w:val="31DCBCE3"/>
    <w:rsid w:val="31FB181D"/>
    <w:rsid w:val="32092BC6"/>
    <w:rsid w:val="33B30FD0"/>
    <w:rsid w:val="33E0AE5B"/>
    <w:rsid w:val="351CD9B7"/>
    <w:rsid w:val="352C2D1A"/>
    <w:rsid w:val="3540C3AF"/>
    <w:rsid w:val="357284CF"/>
    <w:rsid w:val="358489EF"/>
    <w:rsid w:val="358A7E3C"/>
    <w:rsid w:val="359D256C"/>
    <w:rsid w:val="35BB6608"/>
    <w:rsid w:val="35F1BAC2"/>
    <w:rsid w:val="362F974D"/>
    <w:rsid w:val="369FED8F"/>
    <w:rsid w:val="36C5A711"/>
    <w:rsid w:val="37124075"/>
    <w:rsid w:val="371A0BF4"/>
    <w:rsid w:val="37C4B08E"/>
    <w:rsid w:val="38167CE2"/>
    <w:rsid w:val="3862FBB5"/>
    <w:rsid w:val="3885E9C4"/>
    <w:rsid w:val="389ED62E"/>
    <w:rsid w:val="38F3E2D8"/>
    <w:rsid w:val="38F51BCC"/>
    <w:rsid w:val="39CA2750"/>
    <w:rsid w:val="39F81659"/>
    <w:rsid w:val="3AA2E64E"/>
    <w:rsid w:val="3AEE045B"/>
    <w:rsid w:val="3AF7DE8C"/>
    <w:rsid w:val="3B101721"/>
    <w:rsid w:val="3B6CDD85"/>
    <w:rsid w:val="3BB5D083"/>
    <w:rsid w:val="3C015285"/>
    <w:rsid w:val="3C731B52"/>
    <w:rsid w:val="3C9D6F32"/>
    <w:rsid w:val="3CCA75D6"/>
    <w:rsid w:val="3CDE0D49"/>
    <w:rsid w:val="3CE9EE05"/>
    <w:rsid w:val="3D34E895"/>
    <w:rsid w:val="3D5001BA"/>
    <w:rsid w:val="3E08327E"/>
    <w:rsid w:val="3E7431A7"/>
    <w:rsid w:val="3E8C9A89"/>
    <w:rsid w:val="3F0CBFC5"/>
    <w:rsid w:val="3F162AB7"/>
    <w:rsid w:val="40100208"/>
    <w:rsid w:val="4054EE16"/>
    <w:rsid w:val="40C50995"/>
    <w:rsid w:val="419037F7"/>
    <w:rsid w:val="41C11F7A"/>
    <w:rsid w:val="4282FDD0"/>
    <w:rsid w:val="43388E5F"/>
    <w:rsid w:val="439DD02A"/>
    <w:rsid w:val="43A975DB"/>
    <w:rsid w:val="43CB88A1"/>
    <w:rsid w:val="440C646A"/>
    <w:rsid w:val="4435B971"/>
    <w:rsid w:val="443DA6F7"/>
    <w:rsid w:val="44626411"/>
    <w:rsid w:val="44B2D45B"/>
    <w:rsid w:val="44BF546D"/>
    <w:rsid w:val="45008123"/>
    <w:rsid w:val="450AE251"/>
    <w:rsid w:val="4520D755"/>
    <w:rsid w:val="4526D21D"/>
    <w:rsid w:val="45580A19"/>
    <w:rsid w:val="45665CE3"/>
    <w:rsid w:val="4596BD3D"/>
    <w:rsid w:val="45BA9E92"/>
    <w:rsid w:val="45D67079"/>
    <w:rsid w:val="46244188"/>
    <w:rsid w:val="46321987"/>
    <w:rsid w:val="467A7397"/>
    <w:rsid w:val="4705D866"/>
    <w:rsid w:val="471CEAE4"/>
    <w:rsid w:val="4754766C"/>
    <w:rsid w:val="47CCC6AC"/>
    <w:rsid w:val="483EFE4B"/>
    <w:rsid w:val="489551D5"/>
    <w:rsid w:val="49213C41"/>
    <w:rsid w:val="49CF48F2"/>
    <w:rsid w:val="49ECC094"/>
    <w:rsid w:val="4A563050"/>
    <w:rsid w:val="4B35EB04"/>
    <w:rsid w:val="4B69E1E9"/>
    <w:rsid w:val="4C07D28B"/>
    <w:rsid w:val="4C4B27CF"/>
    <w:rsid w:val="4CA056FB"/>
    <w:rsid w:val="4CC6D982"/>
    <w:rsid w:val="4CDED2EF"/>
    <w:rsid w:val="4E66C552"/>
    <w:rsid w:val="4E6CB99F"/>
    <w:rsid w:val="4E717D3D"/>
    <w:rsid w:val="4EA89418"/>
    <w:rsid w:val="4EB87D7D"/>
    <w:rsid w:val="4EFDA0C2"/>
    <w:rsid w:val="4F2E34B1"/>
    <w:rsid w:val="4F62D08B"/>
    <w:rsid w:val="502DD5A6"/>
    <w:rsid w:val="506C2F0B"/>
    <w:rsid w:val="5075D9E5"/>
    <w:rsid w:val="509B7EDA"/>
    <w:rsid w:val="50CD5638"/>
    <w:rsid w:val="50F7FEFC"/>
    <w:rsid w:val="50FEA0EC"/>
    <w:rsid w:val="51053E76"/>
    <w:rsid w:val="51F01E3F"/>
    <w:rsid w:val="5248D940"/>
    <w:rsid w:val="52867B1C"/>
    <w:rsid w:val="529A1E6B"/>
    <w:rsid w:val="536C99A5"/>
    <w:rsid w:val="538BEEA0"/>
    <w:rsid w:val="53B1F53B"/>
    <w:rsid w:val="54430656"/>
    <w:rsid w:val="545995C1"/>
    <w:rsid w:val="54DC5FCA"/>
    <w:rsid w:val="55544888"/>
    <w:rsid w:val="556F17ED"/>
    <w:rsid w:val="5589E167"/>
    <w:rsid w:val="55FDC090"/>
    <w:rsid w:val="565EAC00"/>
    <w:rsid w:val="56DB708F"/>
    <w:rsid w:val="56DBE6FB"/>
    <w:rsid w:val="572B4F93"/>
    <w:rsid w:val="5752645B"/>
    <w:rsid w:val="5762167C"/>
    <w:rsid w:val="57A663E5"/>
    <w:rsid w:val="57CC893B"/>
    <w:rsid w:val="57D335C3"/>
    <w:rsid w:val="5839253D"/>
    <w:rsid w:val="585F5FC3"/>
    <w:rsid w:val="58618F38"/>
    <w:rsid w:val="5890EA9A"/>
    <w:rsid w:val="58D1DC58"/>
    <w:rsid w:val="58DC9443"/>
    <w:rsid w:val="58EF3B73"/>
    <w:rsid w:val="59743123"/>
    <w:rsid w:val="5981AD54"/>
    <w:rsid w:val="59B14977"/>
    <w:rsid w:val="59D5468B"/>
    <w:rsid w:val="5A2CBAFB"/>
    <w:rsid w:val="5A3C51C8"/>
    <w:rsid w:val="5A4A7C16"/>
    <w:rsid w:val="5A581A05"/>
    <w:rsid w:val="5A6C21FB"/>
    <w:rsid w:val="5A6C5A04"/>
    <w:rsid w:val="5ABC9245"/>
    <w:rsid w:val="5AC30C45"/>
    <w:rsid w:val="5B5B8438"/>
    <w:rsid w:val="5B6EEA1E"/>
    <w:rsid w:val="5BB9D55A"/>
    <w:rsid w:val="5BC2BE04"/>
    <w:rsid w:val="5CAF415D"/>
    <w:rsid w:val="5CCD4D33"/>
    <w:rsid w:val="5DD7B0AB"/>
    <w:rsid w:val="5EB3DFD3"/>
    <w:rsid w:val="5ED5479D"/>
    <w:rsid w:val="5F5855D9"/>
    <w:rsid w:val="5F67C26A"/>
    <w:rsid w:val="5FEF8539"/>
    <w:rsid w:val="607117FE"/>
    <w:rsid w:val="61530ED4"/>
    <w:rsid w:val="61934225"/>
    <w:rsid w:val="619D790C"/>
    <w:rsid w:val="623596F0"/>
    <w:rsid w:val="628EC8A6"/>
    <w:rsid w:val="62B59F0A"/>
    <w:rsid w:val="62B6411A"/>
    <w:rsid w:val="62E408E5"/>
    <w:rsid w:val="63200B97"/>
    <w:rsid w:val="6328221A"/>
    <w:rsid w:val="636BE85A"/>
    <w:rsid w:val="63A7041D"/>
    <w:rsid w:val="645DBCAC"/>
    <w:rsid w:val="6484EEA3"/>
    <w:rsid w:val="64A39EF0"/>
    <w:rsid w:val="64AA6E50"/>
    <w:rsid w:val="64B680E2"/>
    <w:rsid w:val="64C2F65C"/>
    <w:rsid w:val="64CD2C48"/>
    <w:rsid w:val="64D755A7"/>
    <w:rsid w:val="64E2B25C"/>
    <w:rsid w:val="653B7533"/>
    <w:rsid w:val="656084CF"/>
    <w:rsid w:val="6580DB01"/>
    <w:rsid w:val="65AE9739"/>
    <w:rsid w:val="661BA9A7"/>
    <w:rsid w:val="665DFAB5"/>
    <w:rsid w:val="666B337F"/>
    <w:rsid w:val="66E05982"/>
    <w:rsid w:val="6708F1E8"/>
    <w:rsid w:val="678551D0"/>
    <w:rsid w:val="67D4C4B7"/>
    <w:rsid w:val="6872ED5C"/>
    <w:rsid w:val="6879E1B1"/>
    <w:rsid w:val="68E8D344"/>
    <w:rsid w:val="69212231"/>
    <w:rsid w:val="6929E39D"/>
    <w:rsid w:val="69430BFA"/>
    <w:rsid w:val="695DE7B6"/>
    <w:rsid w:val="69637D8E"/>
    <w:rsid w:val="69A79F9C"/>
    <w:rsid w:val="69D347EB"/>
    <w:rsid w:val="6A8101A5"/>
    <w:rsid w:val="6A92847D"/>
    <w:rsid w:val="6AC5B3FE"/>
    <w:rsid w:val="6BB3CAA5"/>
    <w:rsid w:val="6BFC3E6B"/>
    <w:rsid w:val="6C045DC7"/>
    <w:rsid w:val="6C712F1E"/>
    <w:rsid w:val="6CCF17D1"/>
    <w:rsid w:val="6D6127A7"/>
    <w:rsid w:val="6DB8A267"/>
    <w:rsid w:val="6DE5AC40"/>
    <w:rsid w:val="6E4BB61F"/>
    <w:rsid w:val="6E6402A7"/>
    <w:rsid w:val="6E88010B"/>
    <w:rsid w:val="6EEB6B67"/>
    <w:rsid w:val="6EECB297"/>
    <w:rsid w:val="6F7DEF0D"/>
    <w:rsid w:val="6F8B6B3E"/>
    <w:rsid w:val="70E26EA8"/>
    <w:rsid w:val="71C6C50A"/>
    <w:rsid w:val="71FAAA1F"/>
    <w:rsid w:val="72D0C5E3"/>
    <w:rsid w:val="732389F0"/>
    <w:rsid w:val="7330DD24"/>
    <w:rsid w:val="7362956B"/>
    <w:rsid w:val="73736B9B"/>
    <w:rsid w:val="73E16E95"/>
    <w:rsid w:val="7401996C"/>
    <w:rsid w:val="74076FC4"/>
    <w:rsid w:val="747022CB"/>
    <w:rsid w:val="74AFF536"/>
    <w:rsid w:val="74F4B954"/>
    <w:rsid w:val="74FB17A9"/>
    <w:rsid w:val="752DC12E"/>
    <w:rsid w:val="755C1F76"/>
    <w:rsid w:val="756213C3"/>
    <w:rsid w:val="75D89123"/>
    <w:rsid w:val="768F7C83"/>
    <w:rsid w:val="76E0CB94"/>
    <w:rsid w:val="774CE0D4"/>
    <w:rsid w:val="777D22F0"/>
    <w:rsid w:val="7822DE5A"/>
    <w:rsid w:val="7833DB7F"/>
    <w:rsid w:val="783F54DA"/>
    <w:rsid w:val="7870A2A7"/>
    <w:rsid w:val="78E5DE0E"/>
    <w:rsid w:val="796AE29B"/>
    <w:rsid w:val="79E1B100"/>
    <w:rsid w:val="7AB68E1F"/>
    <w:rsid w:val="7AEC3597"/>
    <w:rsid w:val="7AEC7046"/>
    <w:rsid w:val="7B09FFD4"/>
    <w:rsid w:val="7B17C967"/>
    <w:rsid w:val="7B254BCA"/>
    <w:rsid w:val="7B735E34"/>
    <w:rsid w:val="7C2828B3"/>
    <w:rsid w:val="7C3519B2"/>
    <w:rsid w:val="7CC48BA3"/>
    <w:rsid w:val="7D3E5726"/>
    <w:rsid w:val="7D79CFB2"/>
    <w:rsid w:val="7D7BA98B"/>
    <w:rsid w:val="7DBE3802"/>
    <w:rsid w:val="7E0EA84C"/>
    <w:rsid w:val="7E4D85C0"/>
    <w:rsid w:val="7E661E7B"/>
    <w:rsid w:val="7EDA2787"/>
    <w:rsid w:val="7F027C70"/>
    <w:rsid w:val="7F14D40B"/>
    <w:rsid w:val="7F8DED78"/>
    <w:rsid w:val="7FF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D130"/>
  <w15:chartTrackingRefBased/>
  <w15:docId w15:val="{5FE68233-887F-4A20-A73E-83C87757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736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4C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2221D"/>
    <w:rPr>
      <w:color w:val="808080"/>
    </w:rPr>
  </w:style>
  <w:style w:type="character" w:styleId="Titre1Car" w:customStyle="1">
    <w:name w:val="Titre 1 Car"/>
    <w:basedOn w:val="Policepardfaut"/>
    <w:link w:val="Titre1"/>
    <w:uiPriority w:val="9"/>
    <w:rsid w:val="0021736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A5155A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EC5F25853D84984B9AAC9EE7B2909" ma:contentTypeVersion="16" ma:contentTypeDescription="Crée un document." ma:contentTypeScope="" ma:versionID="ffe3628ad126820e51af573078545eee">
  <xsd:schema xmlns:xsd="http://www.w3.org/2001/XMLSchema" xmlns:xs="http://www.w3.org/2001/XMLSchema" xmlns:p="http://schemas.microsoft.com/office/2006/metadata/properties" xmlns:ns1="http://schemas.microsoft.com/sharepoint/v3" xmlns:ns3="7ec2ec5c-a6f4-4251-b56e-1d80dc8fda1f" xmlns:ns4="483f88e2-c4fb-41a7-a57f-f32ddd716934" targetNamespace="http://schemas.microsoft.com/office/2006/metadata/properties" ma:root="true" ma:fieldsID="1e5686b4445551242f0136205fe0e310" ns1:_="" ns3:_="" ns4:_="">
    <xsd:import namespace="http://schemas.microsoft.com/sharepoint/v3"/>
    <xsd:import namespace="7ec2ec5c-a6f4-4251-b56e-1d80dc8fda1f"/>
    <xsd:import namespace="483f88e2-c4fb-41a7-a57f-f32ddd7169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2ec5c-a6f4-4251-b56e-1d80dc8fda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f88e2-c4fb-41a7-a57f-f32ddd71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E7793B-8142-4C2E-869C-C02AF0AC3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ec2ec5c-a6f4-4251-b56e-1d80dc8fda1f"/>
    <ds:schemaRef ds:uri="483f88e2-c4fb-41a7-a57f-f32ddd71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2EACBD-30F8-4D65-9693-1ECBA0E32E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0B782DC-2F92-433D-9C43-F1F5E0D7C2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Pauline CHAUVEAU</dc:creator>
  <keywords/>
  <dc:description/>
  <lastModifiedBy>Ghislain ZELLER</lastModifiedBy>
  <revision>334</revision>
  <dcterms:created xsi:type="dcterms:W3CDTF">2022-05-13T15:59:00.0000000Z</dcterms:created>
  <dcterms:modified xsi:type="dcterms:W3CDTF">2022-05-17T13:47:35.5103578Z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0x0101000F5EC5F25853D84984B9AAC9EE7B2909</vt:lpwstr>
  </property>
</Properties>
</file>