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900"/>
        <w:jc w:val="center"/>
      </w:pPr>
      <w:r>
        <w:drawing>
          <wp:inline distT="0" distB="0" distL="0" distR="0">
            <wp:extent cx="28575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857500" cy="1905000"/>
                    </a:xfrm>
                    <a:prstGeom prst="rect">
                      <a:avLst/>
                    </a:prstGeom>
                  </pic:spPr>
                </pic:pic>
              </a:graphicData>
            </a:graphic>
          </wp:inline>
        </w:drawing>
      </w:r>
    </w:p>
    <w:p>
      <w:pPr>
        <w:spacing w:after="60" w:before="300"/>
        <w:jc w:val="center"/>
      </w:pPr>
      <w:r>
        <w:rPr>
          <w:b/>
          <w:bCs/>
          <w:color w:val="003B7A"/>
          <w:sz w:val="56"/>
          <w:szCs w:val="56"/>
        </w:rPr>
        <w:t xml:space="preserve">BUSINESS CASE</w:t>
      </w:r>
    </w:p>
    <w:p>
      <w:pPr>
        <w:spacing w:after="40"/>
        <w:jc w:val="center"/>
      </w:pPr>
      <w:r>
        <w:rPr>
          <w:b/>
          <w:bCs/>
          <w:color w:val="FF7A00"/>
          <w:sz w:val="28"/>
          <w:szCs w:val="28"/>
        </w:rPr>
        <w:t xml:space="preserve">Plateforme de Data-Driven Pricing et de Recommandation</w:t>
      </w:r>
    </w:p>
    <w:p>
      <w:pPr>
        <w:spacing w:after="400"/>
        <w:jc w:val="center"/>
      </w:pPr>
      <w:r>
        <w:rPr>
          <w:i/>
          <w:iCs/>
          <w:color w:val="6B7887"/>
          <w:sz w:val="22"/>
          <w:szCs w:val="22"/>
        </w:rPr>
        <w:t xml:space="preserve">Teranga Market — e-commerce électronique &amp; accessoires</w:t>
      </w:r>
    </w:p>
    <w:p>
      <w:pPr>
        <w:spacing w:after="30"/>
        <w:jc w:val="center"/>
      </w:pPr>
      <w:r>
        <w:rPr>
          <w:b/>
          <w:bCs/>
          <w:color w:val="003B7A"/>
          <w:sz w:val="20"/>
          <w:szCs w:val="20"/>
        </w:rPr>
        <w:t xml:space="preserve">Module : </w:t>
      </w:r>
      <w:r>
        <w:rPr>
          <w:color w:val="1B2A3A"/>
          <w:sz w:val="20"/>
          <w:szCs w:val="20"/>
        </w:rPr>
        <w:t xml:space="preserve">Gestion de Projet Data &amp; E-Business</w:t>
      </w:r>
    </w:p>
    <w:p>
      <w:pPr>
        <w:spacing w:after="30"/>
        <w:jc w:val="center"/>
      </w:pPr>
      <w:r>
        <w:rPr>
          <w:b/>
          <w:bCs/>
          <w:color w:val="003B7A"/>
          <w:sz w:val="20"/>
          <w:szCs w:val="20"/>
        </w:rPr>
        <w:t xml:space="preserve">Formation : </w:t>
      </w:r>
      <w:r>
        <w:rPr>
          <w:color w:val="1B2A3A"/>
          <w:sz w:val="20"/>
          <w:szCs w:val="20"/>
        </w:rPr>
        <w:t xml:space="preserve">Master 2 Big Data — ISM</w:t>
      </w:r>
    </w:p>
    <w:p>
      <w:pPr>
        <w:spacing w:after="30"/>
        <w:jc w:val="center"/>
      </w:pPr>
      <w:r>
        <w:rPr>
          <w:b/>
          <w:bCs/>
          <w:color w:val="003B7A"/>
          <w:sz w:val="20"/>
          <w:szCs w:val="20"/>
        </w:rPr>
        <w:t xml:space="preserve">Chef de projet : </w:t>
      </w:r>
      <w:r>
        <w:rPr>
          <w:color w:val="1B2A3A"/>
          <w:sz w:val="20"/>
          <w:szCs w:val="20"/>
        </w:rPr>
        <w:t xml:space="preserve">Pauline N. N. CISSE (Chef de projet / Business)</w:t>
      </w:r>
    </w:p>
    <w:p>
      <w:pPr>
        <w:spacing w:after="30"/>
        <w:jc w:val="center"/>
      </w:pPr>
      <w:r>
        <w:rPr>
          <w:b/>
          <w:bCs/>
          <w:color w:val="003B7A"/>
          <w:sz w:val="20"/>
          <w:szCs w:val="20"/>
        </w:rPr>
        <w:t xml:space="preserve">Date : </w:t>
      </w:r>
      <w:r>
        <w:rPr>
          <w:color w:val="1B2A3A"/>
          <w:sz w:val="20"/>
          <w:szCs w:val="20"/>
        </w:rPr>
        <w:t xml:space="preserve">Août 2026</w:t>
      </w:r>
    </w:p>
    <w:p>
      <w:pPr>
        <w:spacing w:after="30"/>
        <w:jc w:val="center"/>
      </w:pPr>
      <w:r>
        <w:rPr>
          <w:b/>
          <w:bCs/>
          <w:color w:val="003B7A"/>
          <w:sz w:val="20"/>
          <w:szCs w:val="20"/>
        </w:rPr>
        <w:t xml:space="preserve">Version : </w:t>
      </w:r>
      <w:r>
        <w:rPr>
          <w:color w:val="1B2A3A"/>
          <w:sz w:val="20"/>
          <w:szCs w:val="20"/>
        </w:rPr>
        <w:t xml:space="preserve">1.0</w:t>
      </w:r>
    </w:p>
    <w:p>
      <w:r>
        <w:br w:type="page"/>
      </w:r>
    </w:p>
    <w:p>
      <w:pPr>
        <w:pBdr>
          <w:bottom w:val="single" w:color="FF7A00" w:sz="12" w:space="4"/>
        </w:pBdr>
        <w:spacing w:after="140" w:before="320"/>
      </w:pPr>
      <w:r>
        <w:rPr>
          <w:b/>
          <w:bCs/>
          <w:color w:val="003B7A"/>
          <w:sz w:val="30"/>
          <w:szCs w:val="30"/>
        </w:rPr>
        <w:t xml:space="preserve">1. Résumé exécutif</w:t>
      </w:r>
    </w:p>
    <w:p>
      <w:pPr>
        <w:spacing w:after="120"/>
      </w:pPr>
      <w:r>
        <w:rPr>
          <w:color w:val="1B2A3A"/>
          <w:sz w:val="22"/>
          <w:szCs w:val="22"/>
        </w:rPr>
        <w:t xml:space="preserve">Teranga Market est une plateforme e-commerce locale (électronique et accessoires) réalisant environ 33,6 milliards FCFA de chiffre d'affaires annuel pour une marge de 26,7 %. L'entreprise applique aujourd'hui des prix fixes, subit des ruptures sur les produits populaires et un surstock important ailleurs (17,2 milliards FCFA de stock immobilisé au coût), et exploite mal un catalogue trop large.</w:t>
      </w:r>
    </w:p>
    <w:p>
      <w:pPr>
        <w:spacing w:after="120"/>
      </w:pPr>
      <w:r>
        <w:rPr>
          <w:color w:val="1B2A3A"/>
          <w:sz w:val="22"/>
          <w:szCs w:val="22"/>
        </w:rPr>
        <w:t xml:space="preserve">Ce projet livre une plateforme data-driven qui automatise trois décisions clés — prévoir la demande, optimiser les prix et recommander les bons produits — exposées via une API et un tableau de bord décisionnel, avec un MLOps léger (suivi et monitoring des modèles).</w:t>
      </w:r>
    </w:p>
    <w:p>
      <w:pPr>
        <w:spacing w:after="120"/>
      </w:pPr>
      <w:r>
        <w:rPr>
          <w:b/>
          <w:bCs/>
          <w:color w:val="1B2A3A"/>
          <w:sz w:val="22"/>
          <w:szCs w:val="22"/>
        </w:rPr>
        <w:t xml:space="preserve">Bénéfice potentiel estimé — en scénario prudent et en régime établi — d'environ 635 M FCFA par an, pour un coût récurrent d'environ 36 M FCFA par an et un investissement initial d'environ 27 M FCFA. Ce potentiel se matérialise progressivement avec le déploiement : il ne s'agit pas d'un gain automatique dès la première année. Même en n'en captant qu'une partie, le projet se rentabilise en quelques mois, avec un ROI très favorable sur 3 ans.</w:t>
      </w:r>
    </w:p>
    <w:p>
      <w:pPr>
        <w:pBdr>
          <w:left w:val="single" w:color="1E8449" w:sz="18" w:space="6"/>
        </w:pBdr>
        <w:shd w:fill="EAF1F9" w:color="auto" w:val="clear"/>
        <w:spacing w:after="120" w:before="60"/>
      </w:pPr>
      <w:r>
        <w:rPr>
          <w:b/>
          <w:bCs/>
          <w:color w:val="1E8449"/>
          <w:sz w:val="22"/>
          <w:szCs w:val="22"/>
        </w:rPr>
        <w:t xml:space="preserve">Recommandation : GO. </w:t>
      </w:r>
      <w:r>
        <w:rPr>
          <w:color w:val="1B2A3A"/>
          <w:sz w:val="22"/>
          <w:szCs w:val="22"/>
        </w:rPr>
        <w:t xml:space="preserve">Le rapport bénéfices/coûts est très favorable même en scénario prudent ; nous recommandons un déploiement progressif, catégorie par catégorie.</w:t>
      </w:r>
    </w:p>
    <w:p>
      <w:pPr>
        <w:pBdr>
          <w:bottom w:val="single" w:color="FF7A00" w:sz="12" w:space="4"/>
        </w:pBdr>
        <w:spacing w:after="140" w:before="320"/>
      </w:pPr>
      <w:r>
        <w:rPr>
          <w:b/>
          <w:bCs/>
          <w:color w:val="003B7A"/>
          <w:sz w:val="30"/>
          <w:szCs w:val="30"/>
        </w:rPr>
        <w:t xml:space="preserve">2. Contexte et problème</w:t>
      </w:r>
    </w:p>
    <w:p>
      <w:pPr>
        <w:spacing w:after="120"/>
      </w:pPr>
      <w:r>
        <w:rPr>
          <w:color w:val="1B2A3A"/>
          <w:sz w:val="22"/>
          <w:szCs w:val="22"/>
        </w:rPr>
        <w:t xml:space="preserve">Teranga Market compte environ 10 000 clients, 500 références réparties en 7 catégories, et réalise environ 100 000 ventes sur 12 mois. Trois difficultés pèsent directement sur la marge et la fidélisation :</w:t>
      </w:r>
    </w:p>
    <w:p>
      <w:pPr>
        <w:pStyle w:val="ListParagraph"/>
        <w:numPr>
          <w:ilvl w:val="0"/>
          <w:numId w:val="1"/>
        </w:numPr>
        <w:spacing w:after="70"/>
      </w:pPr>
      <w:r>
        <w:rPr>
          <w:b/>
          <w:bCs/>
          <w:color w:val="003B7A"/>
          <w:sz w:val="22"/>
          <w:szCs w:val="22"/>
        </w:rPr>
        <w:t xml:space="preserve">Prix fixes — </w:t>
      </w:r>
      <w:r>
        <w:rPr>
          <w:color w:val="1B2A3A"/>
          <w:sz w:val="22"/>
          <w:szCs w:val="22"/>
        </w:rPr>
        <w:t xml:space="preserve">les prix ne s'adaptent ni à la demande ni à l'élasticité, ce qui laisse de la marge sur la table.</w:t>
      </w:r>
    </w:p>
    <w:p>
      <w:pPr>
        <w:pStyle w:val="ListParagraph"/>
        <w:numPr>
          <w:ilvl w:val="0"/>
          <w:numId w:val="1"/>
        </w:numPr>
        <w:spacing w:after="70"/>
      </w:pPr>
      <w:r>
        <w:rPr>
          <w:b/>
          <w:bCs/>
          <w:color w:val="003B7A"/>
          <w:sz w:val="22"/>
          <w:szCs w:val="22"/>
        </w:rPr>
        <w:t xml:space="preserve">Gestion des stocks — </w:t>
      </w:r>
      <w:r>
        <w:rPr>
          <w:color w:val="1B2A3A"/>
          <w:sz w:val="22"/>
          <w:szCs w:val="22"/>
        </w:rPr>
        <w:t xml:space="preserve">ruptures sur les produits populaires et surstock ailleurs — 17,2 Md FCFA de stock immobilisé, générant des coûts logistiques et de possession.</w:t>
      </w:r>
    </w:p>
    <w:p>
      <w:pPr>
        <w:pStyle w:val="ListParagraph"/>
        <w:numPr>
          <w:ilvl w:val="0"/>
          <w:numId w:val="1"/>
        </w:numPr>
        <w:spacing w:after="70"/>
      </w:pPr>
      <w:r>
        <w:rPr>
          <w:b/>
          <w:bCs/>
          <w:color w:val="003B7A"/>
          <w:sz w:val="22"/>
          <w:szCs w:val="22"/>
        </w:rPr>
        <w:t xml:space="preserve">Catalogue — </w:t>
      </w:r>
      <w:r>
        <w:rPr>
          <w:color w:val="1B2A3A"/>
          <w:sz w:val="22"/>
          <w:szCs w:val="22"/>
        </w:rPr>
        <w:t xml:space="preserve">un catalogue trop large où le client ne trouve pas facilement les produits pertinents, d'où un panier moyen faible.</w:t>
      </w:r>
    </w:p>
    <w:p>
      <w:pPr>
        <w:spacing w:after="120"/>
      </w:pPr>
      <w:r>
        <w:rPr>
          <w:color w:val="1B2A3A"/>
          <w:sz w:val="22"/>
          <w:szCs w:val="22"/>
        </w:rPr>
        <w:t xml:space="preserve">Ces trois leviers sont directement adressables par l'exploitation des données déjà disponibles (transactions, navigation, promotions, stock).</w:t>
      </w:r>
    </w:p>
    <w:p>
      <w:pPr>
        <w:pBdr>
          <w:bottom w:val="single" w:color="FF7A00" w:sz="12" w:space="4"/>
        </w:pBdr>
        <w:spacing w:after="140" w:before="320"/>
      </w:pPr>
      <w:r>
        <w:rPr>
          <w:b/>
          <w:bCs/>
          <w:color w:val="003B7A"/>
          <w:sz w:val="30"/>
          <w:szCs w:val="30"/>
        </w:rPr>
        <w:t xml:space="preserve">3. Solution proposée</w:t>
      </w:r>
    </w:p>
    <w:p>
      <w:pPr>
        <w:spacing w:after="120"/>
      </w:pPr>
      <w:r>
        <w:rPr>
          <w:color w:val="1B2A3A"/>
          <w:sz w:val="22"/>
          <w:szCs w:val="22"/>
        </w:rPr>
        <w:t xml:space="preserve">Une plateforme data-driven de bout en bout, articulée autour de trois moteurs intelligents et de leur mise à disposition opérationnelle :</w:t>
      </w:r>
    </w:p>
    <w:p>
      <w:pPr>
        <w:pStyle w:val="ListParagraph"/>
        <w:numPr>
          <w:ilvl w:val="0"/>
          <w:numId w:val="1"/>
        </w:numPr>
        <w:spacing w:after="70"/>
      </w:pPr>
      <w:r>
        <w:rPr>
          <w:b/>
          <w:bCs/>
          <w:color w:val="003B7A"/>
          <w:sz w:val="22"/>
          <w:szCs w:val="22"/>
        </w:rPr>
        <w:t xml:space="preserve">Prévision — </w:t>
      </w:r>
      <w:r>
        <w:rPr>
          <w:color w:val="1B2A3A"/>
          <w:sz w:val="22"/>
          <w:szCs w:val="22"/>
        </w:rPr>
        <w:t xml:space="preserve">prévision de la demande quotidienne par catégorie (Prophet), pour anticiper les stocks et réduire ruptures et surstock.</w:t>
      </w:r>
    </w:p>
    <w:p>
      <w:pPr>
        <w:pStyle w:val="ListParagraph"/>
        <w:numPr>
          <w:ilvl w:val="0"/>
          <w:numId w:val="1"/>
        </w:numPr>
        <w:spacing w:after="70"/>
      </w:pPr>
      <w:r>
        <w:rPr>
          <w:b/>
          <w:bCs/>
          <w:color w:val="003B7A"/>
          <w:sz w:val="22"/>
          <w:szCs w:val="22"/>
        </w:rPr>
        <w:t xml:space="preserve">Pricing dynamique — </w:t>
      </w:r>
      <w:r>
        <w:rPr>
          <w:color w:val="1B2A3A"/>
          <w:sz w:val="22"/>
          <w:szCs w:val="22"/>
        </w:rPr>
        <w:t xml:space="preserve">optimisation des prix par l'élasticité, pour maximiser la marge produit par produit.</w:t>
      </w:r>
    </w:p>
    <w:p>
      <w:pPr>
        <w:pStyle w:val="ListParagraph"/>
        <w:numPr>
          <w:ilvl w:val="0"/>
          <w:numId w:val="1"/>
        </w:numPr>
        <w:spacing w:after="70"/>
      </w:pPr>
      <w:r>
        <w:rPr>
          <w:b/>
          <w:bCs/>
          <w:color w:val="003B7A"/>
          <w:sz w:val="22"/>
          <w:szCs w:val="22"/>
        </w:rPr>
        <w:t xml:space="preserve">Recommandation — </w:t>
      </w:r>
      <w:r>
        <w:rPr>
          <w:color w:val="1B2A3A"/>
          <w:sz w:val="22"/>
          <w:szCs w:val="22"/>
        </w:rPr>
        <w:t xml:space="preserve">recommandation hybride (produits similaires + achetés ensemble) pour le cross-sell et l'up-sell.</w:t>
      </w:r>
    </w:p>
    <w:p>
      <w:pPr>
        <w:pStyle w:val="ListParagraph"/>
        <w:numPr>
          <w:ilvl w:val="0"/>
          <w:numId w:val="1"/>
        </w:numPr>
        <w:spacing w:after="70"/>
      </w:pPr>
      <w:r>
        <w:rPr>
          <w:b/>
          <w:bCs/>
          <w:color w:val="003B7A"/>
          <w:sz w:val="22"/>
          <w:szCs w:val="22"/>
        </w:rPr>
        <w:t xml:space="preserve">Mise en production — </w:t>
      </w:r>
      <w:r>
        <w:rPr>
          <w:color w:val="1B2A3A"/>
          <w:sz w:val="22"/>
          <w:szCs w:val="22"/>
        </w:rPr>
        <w:t xml:space="preserve">API REST (FastAPI, dockerisée) exposant prix et recommandations ; tableau de bord décisionnel pour les product managers ; MLOps léger (MLflow, monitoring de dérive PSI, CI/CD).</w:t>
      </w:r>
    </w:p>
    <w:p>
      <w:pPr>
        <w:pBdr>
          <w:bottom w:val="single" w:color="FF7A00" w:sz="12" w:space="4"/>
        </w:pBdr>
        <w:spacing w:after="140" w:before="320"/>
      </w:pPr>
      <w:r>
        <w:rPr>
          <w:b/>
          <w:bCs/>
          <w:color w:val="003B7A"/>
          <w:sz w:val="30"/>
          <w:szCs w:val="30"/>
        </w:rPr>
        <w:t xml:space="preserve">4. Bénéfices attendus</w:t>
      </w:r>
    </w:p>
    <w:p>
      <w:pPr>
        <w:spacing w:after="120"/>
      </w:pPr>
      <w:r>
        <w:rPr>
          <w:color w:val="1B2A3A"/>
          <w:sz w:val="22"/>
          <w:szCs w:val="22"/>
        </w:rPr>
        <w:t xml:space="preserve">Les bénéfices sont estimés en scénario prudent, à partir des résultats réels des modèles, et exprimés en gain de marge annuel (impact sur le profit). Ils représentent un potentiel en régime établi, atteint progressivement avec le déploiement — et non un gain automatique dès la première année.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4026"/>
        <w:gridCol w:w="2500"/>
      </w:tblGrid>
      <w:tr>
        <w:trPr>
          <w:tblHeader/>
        </w:trPr>
        <w:tc>
          <w:tcPr>
            <w:tcW w:type="dxa" w:w="2500"/>
            <w:shd w:fill="003B7A" w:color="auto" w:val="clear"/>
            <w:tcMar>
              <w:top w:type="dxa" w:w="60"/>
              <w:left w:type="dxa" w:w="110"/>
              <w:bottom w:type="dxa" w:w="60"/>
              <w:right w:type="dxa" w:w="110"/>
            </w:tcMar>
          </w:tcPr>
          <w:p>
            <w:pPr>
              <w:jc w:val="left"/>
            </w:pPr>
            <w:r>
              <w:rPr>
                <w:b/>
                <w:bCs/>
                <w:color w:val="FFFFFF"/>
                <w:sz w:val="20"/>
                <w:szCs w:val="20"/>
              </w:rPr>
              <w:t xml:space="preserve">Levier</w:t>
            </w:r>
          </w:p>
        </w:tc>
        <w:tc>
          <w:tcPr>
            <w:tcW w:type="dxa" w:w="4026"/>
            <w:shd w:fill="003B7A" w:color="auto" w:val="clear"/>
            <w:tcMar>
              <w:top w:type="dxa" w:w="60"/>
              <w:left w:type="dxa" w:w="110"/>
              <w:bottom w:type="dxa" w:w="60"/>
              <w:right w:type="dxa" w:w="110"/>
            </w:tcMar>
          </w:tcPr>
          <w:p>
            <w:pPr>
              <w:jc w:val="center"/>
            </w:pPr>
            <w:r>
              <w:rPr>
                <w:b/>
                <w:bCs/>
                <w:color w:val="FFFFFF"/>
                <w:sz w:val="20"/>
                <w:szCs w:val="20"/>
              </w:rPr>
              <w:t xml:space="preserve">Hypothèse retenue (prudente)</w:t>
            </w:r>
          </w:p>
        </w:tc>
        <w:tc>
          <w:tcPr>
            <w:tcW w:type="dxa" w:w="2500"/>
            <w:shd w:fill="003B7A" w:color="auto" w:val="clear"/>
            <w:tcMar>
              <w:top w:type="dxa" w:w="60"/>
              <w:left w:type="dxa" w:w="110"/>
              <w:bottom w:type="dxa" w:w="60"/>
              <w:right w:type="dxa" w:w="110"/>
            </w:tcMar>
          </w:tcPr>
          <w:p>
            <w:pPr>
              <w:jc w:val="center"/>
            </w:pPr>
            <w:r>
              <w:rPr>
                <w:b/>
                <w:bCs/>
                <w:color w:val="FFFFFF"/>
                <w:sz w:val="20"/>
                <w:szCs w:val="20"/>
              </w:rPr>
              <w:t xml:space="preserve">Bénéfice / an</w:t>
            </w:r>
          </w:p>
        </w:tc>
      </w:tr>
      <w:tr>
        <w:tc>
          <w:tcPr>
            <w:tcW w:type="dxa" w:w="2500"/>
            <w:tcMar>
              <w:top w:type="dxa" w:w="60"/>
              <w:left w:type="dxa" w:w="110"/>
              <w:bottom w:type="dxa" w:w="60"/>
              <w:right w:type="dxa" w:w="110"/>
            </w:tcMar>
          </w:tcPr>
          <w:p>
            <w:pPr>
              <w:jc w:val="left"/>
            </w:pPr>
            <w:r>
              <w:rPr>
                <w:b/>
                <w:bCs/>
                <w:color w:val="1B2A3A"/>
                <w:sz w:val="20"/>
                <w:szCs w:val="20"/>
              </w:rPr>
              <w:t xml:space="preserve">Pricing dynamique</w:t>
            </w:r>
          </w:p>
        </w:tc>
        <w:tc>
          <w:tcPr>
            <w:tcW w:type="dxa" w:w="4026"/>
            <w:tcMar>
              <w:top w:type="dxa" w:w="60"/>
              <w:left w:type="dxa" w:w="110"/>
              <w:bottom w:type="dxa" w:w="60"/>
              <w:right w:type="dxa" w:w="110"/>
            </w:tcMar>
          </w:tcPr>
          <w:p>
            <w:pPr>
              <w:jc w:val="center"/>
            </w:pPr>
            <w:r>
              <w:rPr>
                <w:b w:val="false"/>
                <w:bCs w:val="false"/>
                <w:color w:val="1B2A3A"/>
                <w:sz w:val="20"/>
                <w:szCs w:val="20"/>
              </w:rPr>
              <w:t xml:space="preserve">Capture de 40 % du potentiel théorique (629 M) : élasticité imparfaite, contraintes concurrentielles, déploiement progressif</w:t>
            </w:r>
          </w:p>
        </w:tc>
        <w:tc>
          <w:tcPr>
            <w:tcW w:type="dxa" w:w="2500"/>
            <w:tcMar>
              <w:top w:type="dxa" w:w="60"/>
              <w:left w:type="dxa" w:w="110"/>
              <w:bottom w:type="dxa" w:w="60"/>
              <w:right w:type="dxa" w:w="110"/>
            </w:tcMar>
          </w:tcPr>
          <w:p>
            <w:pPr>
              <w:jc w:val="center"/>
            </w:pPr>
            <w:r>
              <w:rPr>
                <w:b w:val="false"/>
                <w:bCs w:val="false"/>
                <w:color w:val="1B2A3A"/>
                <w:sz w:val="20"/>
                <w:szCs w:val="20"/>
              </w:rPr>
              <w:t xml:space="preserve">≈ 250 M FCFA</w:t>
            </w:r>
          </w:p>
        </w:tc>
      </w:tr>
      <w:tr>
        <w:tc>
          <w:tcPr>
            <w:tcW w:type="dxa" w:w="2500"/>
            <w:shd w:fill="F5F8FB" w:color="auto" w:val="clear"/>
            <w:tcMar>
              <w:top w:type="dxa" w:w="60"/>
              <w:left w:type="dxa" w:w="110"/>
              <w:bottom w:type="dxa" w:w="60"/>
              <w:right w:type="dxa" w:w="110"/>
            </w:tcMar>
          </w:tcPr>
          <w:p>
            <w:pPr>
              <w:jc w:val="left"/>
            </w:pPr>
            <w:r>
              <w:rPr>
                <w:b/>
                <w:bCs/>
                <w:color w:val="1B2A3A"/>
                <w:sz w:val="20"/>
                <w:szCs w:val="20"/>
              </w:rPr>
              <w:t xml:space="preserve">Recommandation</w:t>
            </w:r>
          </w:p>
        </w:tc>
        <w:tc>
          <w:tcPr>
            <w:tcW w:type="dxa" w:w="4026"/>
            <w:shd w:fill="F5F8FB" w:color="auto" w:val="clear"/>
            <w:tcMar>
              <w:top w:type="dxa" w:w="60"/>
              <w:left w:type="dxa" w:w="110"/>
              <w:bottom w:type="dxa" w:w="60"/>
              <w:right w:type="dxa" w:w="110"/>
            </w:tcMar>
          </w:tcPr>
          <w:p>
            <w:pPr>
              <w:jc w:val="center"/>
            </w:pPr>
            <w:r>
              <w:rPr>
                <w:b w:val="false"/>
                <w:bCs w:val="false"/>
                <w:color w:val="1B2A3A"/>
                <w:sz w:val="20"/>
                <w:szCs w:val="20"/>
              </w:rPr>
              <w:t xml:space="preserve">Cross-sell : +1,5 % du chiffre d'affaires, converti en marge (26,7 %)</w:t>
            </w:r>
          </w:p>
        </w:tc>
        <w:tc>
          <w:tcPr>
            <w:tcW w:type="dxa" w:w="2500"/>
            <w:shd w:fill="F5F8FB" w:color="auto" w:val="clear"/>
            <w:tcMar>
              <w:top w:type="dxa" w:w="60"/>
              <w:left w:type="dxa" w:w="110"/>
              <w:bottom w:type="dxa" w:w="60"/>
              <w:right w:type="dxa" w:w="110"/>
            </w:tcMar>
          </w:tcPr>
          <w:p>
            <w:pPr>
              <w:jc w:val="center"/>
            </w:pPr>
            <w:r>
              <w:rPr>
                <w:b w:val="false"/>
                <w:bCs w:val="false"/>
                <w:color w:val="1B2A3A"/>
                <w:sz w:val="20"/>
                <w:szCs w:val="20"/>
              </w:rPr>
              <w:t xml:space="preserve">≈ 135 M FCFA</w:t>
            </w:r>
          </w:p>
        </w:tc>
      </w:tr>
      <w:tr>
        <w:tc>
          <w:tcPr>
            <w:tcW w:type="dxa" w:w="2500"/>
            <w:tcMar>
              <w:top w:type="dxa" w:w="60"/>
              <w:left w:type="dxa" w:w="110"/>
              <w:bottom w:type="dxa" w:w="60"/>
              <w:right w:type="dxa" w:w="110"/>
            </w:tcMar>
          </w:tcPr>
          <w:p>
            <w:pPr>
              <w:jc w:val="left"/>
            </w:pPr>
            <w:r>
              <w:rPr>
                <w:b/>
                <w:bCs/>
                <w:color w:val="1B2A3A"/>
                <w:sz w:val="20"/>
                <w:szCs w:val="20"/>
              </w:rPr>
              <w:t xml:space="preserve">Prévision → surstock</w:t>
            </w:r>
          </w:p>
        </w:tc>
        <w:tc>
          <w:tcPr>
            <w:tcW w:type="dxa" w:w="4026"/>
            <w:tcMar>
              <w:top w:type="dxa" w:w="60"/>
              <w:left w:type="dxa" w:w="110"/>
              <w:bottom w:type="dxa" w:w="60"/>
              <w:right w:type="dxa" w:w="110"/>
            </w:tcMar>
          </w:tcPr>
          <w:p>
            <w:pPr>
              <w:jc w:val="center"/>
            </w:pPr>
            <w:r>
              <w:rPr>
                <w:b w:val="false"/>
                <w:bCs w:val="false"/>
                <w:color w:val="1B2A3A"/>
                <w:sz w:val="20"/>
                <w:szCs w:val="20"/>
              </w:rPr>
              <w:t xml:space="preserve">Économie des coûts de possession (~15 %/an) sur le capital libéré par la réduction du surstock</w:t>
            </w:r>
          </w:p>
        </w:tc>
        <w:tc>
          <w:tcPr>
            <w:tcW w:type="dxa" w:w="2500"/>
            <w:tcMar>
              <w:top w:type="dxa" w:w="60"/>
              <w:left w:type="dxa" w:w="110"/>
              <w:bottom w:type="dxa" w:w="60"/>
              <w:right w:type="dxa" w:w="110"/>
            </w:tcMar>
          </w:tcPr>
          <w:p>
            <w:pPr>
              <w:jc w:val="center"/>
            </w:pPr>
            <w:r>
              <w:rPr>
                <w:b w:val="false"/>
                <w:bCs w:val="false"/>
                <w:color w:val="1B2A3A"/>
                <w:sz w:val="20"/>
                <w:szCs w:val="20"/>
              </w:rPr>
              <w:t xml:space="preserve">≈ 250 M FCFA</w:t>
            </w:r>
          </w:p>
        </w:tc>
      </w:tr>
      <w:tr>
        <w:tc>
          <w:tcPr>
            <w:tcW w:type="dxa" w:w="2500"/>
            <w:shd w:fill="003B7A" w:color="auto" w:val="clear"/>
            <w:tcMar>
              <w:top w:type="dxa" w:w="60"/>
              <w:left w:type="dxa" w:w="110"/>
              <w:bottom w:type="dxa" w:w="60"/>
              <w:right w:type="dxa" w:w="110"/>
            </w:tcMar>
          </w:tcPr>
          <w:p>
            <w:pPr>
              <w:jc w:val="left"/>
            </w:pPr>
            <w:r>
              <w:rPr>
                <w:b/>
                <w:bCs/>
                <w:color w:val="FFFFFF"/>
                <w:sz w:val="20"/>
                <w:szCs w:val="20"/>
              </w:rPr>
              <w:t xml:space="preserve">TOTAL</w:t>
            </w:r>
          </w:p>
        </w:tc>
        <w:tc>
          <w:tcPr>
            <w:tcW w:type="dxa" w:w="4026"/>
            <w:shd w:fill="003B7A" w:color="auto" w:val="clear"/>
            <w:tcMar>
              <w:top w:type="dxa" w:w="60"/>
              <w:left w:type="dxa" w:w="110"/>
              <w:bottom w:type="dxa" w:w="60"/>
              <w:right w:type="dxa" w:w="110"/>
            </w:tcMar>
          </w:tcPr>
          <w:p>
            <w:pPr>
              <w:jc w:val="left"/>
            </w:pPr>
            <w:r>
              <w:rPr>
                <w:b w:val="false"/>
                <w:bCs w:val="false"/>
                <w:color w:val="FFFFFF"/>
                <w:sz w:val="20"/>
                <w:szCs w:val="20"/>
              </w:rPr>
              <w:t xml:space="preserve">Bénéfice potentiel / an (régime établi)</w:t>
            </w:r>
          </w:p>
        </w:tc>
        <w:tc>
          <w:tcPr>
            <w:tcW w:type="dxa" w:w="2500"/>
            <w:shd w:fill="003B7A" w:color="auto" w:val="clear"/>
            <w:tcMar>
              <w:top w:type="dxa" w:w="60"/>
              <w:left w:type="dxa" w:w="110"/>
              <w:bottom w:type="dxa" w:w="60"/>
              <w:right w:type="dxa" w:w="110"/>
            </w:tcMar>
          </w:tcPr>
          <w:p>
            <w:pPr>
              <w:jc w:val="center"/>
            </w:pPr>
            <w:r>
              <w:rPr>
                <w:b w:val="false"/>
                <w:bCs w:val="false"/>
                <w:color w:val="FFFFFF"/>
                <w:sz w:val="20"/>
                <w:szCs w:val="20"/>
              </w:rPr>
              <w:t xml:space="preserve">≈ 635 M FCFA</w:t>
            </w:r>
          </w:p>
        </w:tc>
      </w:tr>
    </w:tbl>
    <w:p>
      <w:pPr>
        <w:spacing w:after="80"/>
      </w:pPr>
    </w:p>
    <w:p>
      <w:pPr>
        <w:spacing w:after="40"/>
      </w:pPr>
      <w:r>
        <w:rPr>
          <w:i/>
          <w:iCs/>
          <w:color w:val="1B2A3A"/>
          <w:sz w:val="22"/>
          <w:szCs w:val="22"/>
        </w:rPr>
        <w:t xml:space="preserve">Le gain de pricing (629 M FCFA en potentiel brut) provient directement du modèle d'optimisation des prix ; nous n'en retenons ici que 40 % par prudence.</w:t>
      </w:r>
    </w:p>
    <w:p>
      <w:pPr>
        <w:pBdr>
          <w:left w:val="single" w:color="003B7A" w:sz="18" w:space="6"/>
        </w:pBdr>
        <w:shd w:fill="EAF1F9" w:color="auto" w:val="clear"/>
        <w:spacing w:after="120" w:before="40"/>
      </w:pPr>
      <w:r>
        <w:rPr>
          <w:b/>
          <w:bCs/>
          <w:color w:val="003B7A"/>
          <w:sz w:val="22"/>
          <w:szCs w:val="22"/>
        </w:rPr>
        <w:t xml:space="preserve">Surstock — distinction importante : </w:t>
      </w:r>
      <w:r>
        <w:rPr>
          <w:color w:val="1B2A3A"/>
          <w:sz w:val="22"/>
          <w:szCs w:val="22"/>
        </w:rPr>
        <w:t xml:space="preserve">réduire le surstock d'environ 10 % libère ~1,72 Md FCFA de capital immobilisé (gain ponctuel, réinvestissable). Le bénéfice annuel récurrent de ~250 M FCFA correspond, lui, à l'économie des coûts de possession (~15 %/an) sur ce capital libéré.</w:t>
      </w:r>
    </w:p>
    <w:p>
      <w:pPr>
        <w:pBdr>
          <w:bottom w:val="single" w:color="FF7A00" w:sz="12" w:space="4"/>
        </w:pBdr>
        <w:spacing w:after="140" w:before="320"/>
      </w:pPr>
      <w:r>
        <w:rPr>
          <w:b/>
          <w:bCs/>
          <w:color w:val="003B7A"/>
          <w:sz w:val="30"/>
          <w:szCs w:val="30"/>
        </w:rPr>
        <w:t xml:space="preserve">5. Coûts (indicatifs)</w:t>
      </w:r>
    </w:p>
    <w:p>
      <w:pPr>
        <w:spacing w:after="120"/>
      </w:pPr>
      <w:r>
        <w:rPr>
          <w:color w:val="1B2A3A"/>
          <w:sz w:val="22"/>
          <w:szCs w:val="22"/>
        </w:rPr>
        <w:t xml:space="preserve">Le sprint pédagogique s'appuie sur des outils gratuits / open source exécutés en local. Les coûts ci-dessous estiment une mise en production réelle (ordres de grandeur, à affiner).</w:t>
      </w:r>
    </w:p>
    <w:p>
      <w:pPr>
        <w:spacing w:after="80" w:before="200"/>
      </w:pPr>
      <w:r>
        <w:rPr>
          <w:b/>
          <w:bCs/>
          <w:color w:val="FF7A00"/>
          <w:sz w:val="24"/>
          <w:szCs w:val="24"/>
        </w:rPr>
        <w:t xml:space="preserve">Investissement initial (an 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250"/>
        <w:gridCol w:w="2250"/>
      </w:tblGrid>
      <w:tr>
        <w:trPr>
          <w:tblHeader/>
        </w:trPr>
        <w:tc>
          <w:tcPr>
            <w:tcW w:type="dxa" w:w="4526"/>
            <w:shd w:fill="003B7A" w:color="auto" w:val="clear"/>
            <w:tcMar>
              <w:top w:type="dxa" w:w="60"/>
              <w:left w:type="dxa" w:w="110"/>
              <w:bottom w:type="dxa" w:w="60"/>
              <w:right w:type="dxa" w:w="110"/>
            </w:tcMar>
          </w:tcPr>
          <w:p>
            <w:pPr>
              <w:jc w:val="left"/>
            </w:pPr>
            <w:r>
              <w:rPr>
                <w:b/>
                <w:bCs/>
                <w:color w:val="FFFFFF"/>
                <w:sz w:val="20"/>
                <w:szCs w:val="20"/>
              </w:rPr>
              <w:t xml:space="preserve">Poste</w:t>
            </w:r>
          </w:p>
        </w:tc>
        <w:tc>
          <w:tcPr>
            <w:tcW w:type="dxa" w:w="2250"/>
            <w:shd w:fill="003B7A" w:color="auto" w:val="clear"/>
            <w:tcMar>
              <w:top w:type="dxa" w:w="60"/>
              <w:left w:type="dxa" w:w="110"/>
              <w:bottom w:type="dxa" w:w="60"/>
              <w:right w:type="dxa" w:w="110"/>
            </w:tcMar>
          </w:tcPr>
          <w:p>
            <w:pPr>
              <w:jc w:val="center"/>
            </w:pPr>
            <w:r>
              <w:rPr>
                <w:b/>
                <w:bCs/>
                <w:color w:val="FFFFFF"/>
                <w:sz w:val="20"/>
                <w:szCs w:val="20"/>
              </w:rPr>
              <w:t xml:space="preserve">Type</w:t>
            </w:r>
          </w:p>
        </w:tc>
        <w:tc>
          <w:tcPr>
            <w:tcW w:type="dxa" w:w="2250"/>
            <w:shd w:fill="003B7A" w:color="auto" w:val="clear"/>
            <w:tcMar>
              <w:top w:type="dxa" w:w="60"/>
              <w:left w:type="dxa" w:w="110"/>
              <w:bottom w:type="dxa" w:w="60"/>
              <w:right w:type="dxa" w:w="110"/>
            </w:tcMar>
          </w:tcPr>
          <w:p>
            <w:pPr>
              <w:jc w:val="center"/>
            </w:pPr>
            <w:r>
              <w:rPr>
                <w:b/>
                <w:bCs/>
                <w:color w:val="FFFFFF"/>
                <w:sz w:val="20"/>
                <w:szCs w:val="20"/>
              </w:rPr>
              <w:t xml:space="preserve">Montant</w:t>
            </w:r>
          </w:p>
        </w:tc>
      </w:tr>
      <w:tr>
        <w:tc>
          <w:tcPr>
            <w:tcW w:type="dxa" w:w="4526"/>
            <w:tcMar>
              <w:top w:type="dxa" w:w="60"/>
              <w:left w:type="dxa" w:w="110"/>
              <w:bottom w:type="dxa" w:w="60"/>
              <w:right w:type="dxa" w:w="110"/>
            </w:tcMar>
          </w:tcPr>
          <w:p>
            <w:pPr>
              <w:jc w:val="left"/>
            </w:pPr>
            <w:r>
              <w:rPr>
                <w:color w:val="1B2A3A"/>
                <w:sz w:val="20"/>
                <w:szCs w:val="20"/>
              </w:rPr>
              <w:t xml:space="preserve">Développement et mise en place de la plateforme</w:t>
            </w:r>
          </w:p>
        </w:tc>
        <w:tc>
          <w:tcPr>
            <w:tcW w:type="dxa" w:w="2250"/>
            <w:tcMar>
              <w:top w:type="dxa" w:w="60"/>
              <w:left w:type="dxa" w:w="110"/>
              <w:bottom w:type="dxa" w:w="60"/>
              <w:right w:type="dxa" w:w="110"/>
            </w:tcMar>
          </w:tcPr>
          <w:p>
            <w:pPr>
              <w:jc w:val="center"/>
            </w:pPr>
            <w:r>
              <w:rPr>
                <w:color w:val="1B2A3A"/>
                <w:sz w:val="20"/>
                <w:szCs w:val="20"/>
              </w:rPr>
              <w:t xml:space="preserve">Ponctuel</w:t>
            </w:r>
          </w:p>
        </w:tc>
        <w:tc>
          <w:tcPr>
            <w:tcW w:type="dxa" w:w="2250"/>
            <w:tcMar>
              <w:top w:type="dxa" w:w="60"/>
              <w:left w:type="dxa" w:w="110"/>
              <w:bottom w:type="dxa" w:w="60"/>
              <w:right w:type="dxa" w:w="110"/>
            </w:tcMar>
          </w:tcPr>
          <w:p>
            <w:pPr>
              <w:jc w:val="center"/>
            </w:pPr>
            <w:r>
              <w:rPr>
                <w:color w:val="1B2A3A"/>
                <w:sz w:val="20"/>
                <w:szCs w:val="20"/>
              </w:rPr>
              <w:t xml:space="preserve">18 M FCFA</w:t>
            </w:r>
          </w:p>
        </w:tc>
      </w:tr>
      <w:tr>
        <w:tc>
          <w:tcPr>
            <w:tcW w:type="dxa" w:w="4526"/>
            <w:shd w:fill="F5F8FB" w:color="auto" w:val="clear"/>
            <w:tcMar>
              <w:top w:type="dxa" w:w="60"/>
              <w:left w:type="dxa" w:w="110"/>
              <w:bottom w:type="dxa" w:w="60"/>
              <w:right w:type="dxa" w:w="110"/>
            </w:tcMar>
          </w:tcPr>
          <w:p>
            <w:pPr>
              <w:jc w:val="left"/>
            </w:pPr>
            <w:r>
              <w:rPr>
                <w:color w:val="1B2A3A"/>
                <w:sz w:val="20"/>
                <w:szCs w:val="20"/>
              </w:rPr>
              <w:t xml:space="preserve">Infrastructure et outillage initial</w:t>
            </w:r>
          </w:p>
        </w:tc>
        <w:tc>
          <w:tcPr>
            <w:tcW w:type="dxa" w:w="2250"/>
            <w:shd w:fill="F5F8FB" w:color="auto" w:val="clear"/>
            <w:tcMar>
              <w:top w:type="dxa" w:w="60"/>
              <w:left w:type="dxa" w:w="110"/>
              <w:bottom w:type="dxa" w:w="60"/>
              <w:right w:type="dxa" w:w="110"/>
            </w:tcMar>
          </w:tcPr>
          <w:p>
            <w:pPr>
              <w:jc w:val="center"/>
            </w:pPr>
            <w:r>
              <w:rPr>
                <w:color w:val="1B2A3A"/>
                <w:sz w:val="20"/>
                <w:szCs w:val="20"/>
              </w:rPr>
              <w:t xml:space="preserve">Ponctuel</w:t>
            </w:r>
          </w:p>
        </w:tc>
        <w:tc>
          <w:tcPr>
            <w:tcW w:type="dxa" w:w="2250"/>
            <w:shd w:fill="F5F8FB" w:color="auto" w:val="clear"/>
            <w:tcMar>
              <w:top w:type="dxa" w:w="60"/>
              <w:left w:type="dxa" w:w="110"/>
              <w:bottom w:type="dxa" w:w="60"/>
              <w:right w:type="dxa" w:w="110"/>
            </w:tcMar>
          </w:tcPr>
          <w:p>
            <w:pPr>
              <w:jc w:val="center"/>
            </w:pPr>
            <w:r>
              <w:rPr>
                <w:color w:val="1B2A3A"/>
                <w:sz w:val="20"/>
                <w:szCs w:val="20"/>
              </w:rPr>
              <w:t xml:space="preserve">6 M FCFA</w:t>
            </w:r>
          </w:p>
        </w:tc>
      </w:tr>
      <w:tr>
        <w:tc>
          <w:tcPr>
            <w:tcW w:type="dxa" w:w="4526"/>
            <w:tcMar>
              <w:top w:type="dxa" w:w="60"/>
              <w:left w:type="dxa" w:w="110"/>
              <w:bottom w:type="dxa" w:w="60"/>
              <w:right w:type="dxa" w:w="110"/>
            </w:tcMar>
          </w:tcPr>
          <w:p>
            <w:pPr>
              <w:jc w:val="left"/>
            </w:pPr>
            <w:r>
              <w:rPr>
                <w:color w:val="1B2A3A"/>
                <w:sz w:val="20"/>
                <w:szCs w:val="20"/>
              </w:rPr>
              <w:t xml:space="preserve">Formation de l'équipe</w:t>
            </w:r>
          </w:p>
        </w:tc>
        <w:tc>
          <w:tcPr>
            <w:tcW w:type="dxa" w:w="2250"/>
            <w:tcMar>
              <w:top w:type="dxa" w:w="60"/>
              <w:left w:type="dxa" w:w="110"/>
              <w:bottom w:type="dxa" w:w="60"/>
              <w:right w:type="dxa" w:w="110"/>
            </w:tcMar>
          </w:tcPr>
          <w:p>
            <w:pPr>
              <w:jc w:val="center"/>
            </w:pPr>
            <w:r>
              <w:rPr>
                <w:color w:val="1B2A3A"/>
                <w:sz w:val="20"/>
                <w:szCs w:val="20"/>
              </w:rPr>
              <w:t xml:space="preserve">Ponctuel</w:t>
            </w:r>
          </w:p>
        </w:tc>
        <w:tc>
          <w:tcPr>
            <w:tcW w:type="dxa" w:w="2250"/>
            <w:tcMar>
              <w:top w:type="dxa" w:w="60"/>
              <w:left w:type="dxa" w:w="110"/>
              <w:bottom w:type="dxa" w:w="60"/>
              <w:right w:type="dxa" w:w="110"/>
            </w:tcMar>
          </w:tcPr>
          <w:p>
            <w:pPr>
              <w:jc w:val="center"/>
            </w:pPr>
            <w:r>
              <w:rPr>
                <w:color w:val="1B2A3A"/>
                <w:sz w:val="20"/>
                <w:szCs w:val="20"/>
              </w:rPr>
              <w:t xml:space="preserve">3 M FCFA</w:t>
            </w:r>
          </w:p>
        </w:tc>
      </w:tr>
      <w:tr>
        <w:tc>
          <w:tcPr>
            <w:tcW w:type="dxa" w:w="4526"/>
            <w:shd w:fill="EAF1F9" w:color="auto" w:val="clear"/>
            <w:tcMar>
              <w:top w:type="dxa" w:w="60"/>
              <w:left w:type="dxa" w:w="110"/>
              <w:bottom w:type="dxa" w:w="60"/>
              <w:right w:type="dxa" w:w="110"/>
            </w:tcMar>
          </w:tcPr>
          <w:p>
            <w:pPr>
              <w:jc w:val="left"/>
            </w:pPr>
            <w:r>
              <w:rPr>
                <w:b/>
                <w:bCs/>
                <w:color w:val="1B2A3A"/>
                <w:sz w:val="20"/>
                <w:szCs w:val="20"/>
              </w:rPr>
              <w:t xml:space="preserve">Total investissement initial</w:t>
            </w:r>
          </w:p>
        </w:tc>
        <w:tc>
          <w:tcPr>
            <w:tcW w:type="dxa" w:w="2250"/>
            <w:shd w:fill="EAF1F9" w:color="auto" w:val="clear"/>
            <w:tcMar>
              <w:top w:type="dxa" w:w="60"/>
              <w:left w:type="dxa" w:w="110"/>
              <w:bottom w:type="dxa" w:w="60"/>
              <w:right w:type="dxa" w:w="110"/>
            </w:tcMar>
          </w:tcPr>
          <w:p>
            <w:pPr>
              <w:jc w:val="center"/>
            </w:pPr>
            <w:r>
              <w:rPr>
                <w:b w:val="false"/>
                <w:bCs w:val="false"/>
                <w:color w:val="1B2A3A"/>
                <w:sz w:val="20"/>
                <w:szCs w:val="20"/>
              </w:rPr>
              <w:t xml:space="preserve"/>
            </w:r>
          </w:p>
        </w:tc>
        <w:tc>
          <w:tcPr>
            <w:tcW w:type="dxa" w:w="2250"/>
            <w:shd w:fill="EAF1F9" w:color="auto" w:val="clear"/>
            <w:tcMar>
              <w:top w:type="dxa" w:w="60"/>
              <w:left w:type="dxa" w:w="110"/>
              <w:bottom w:type="dxa" w:w="60"/>
              <w:right w:type="dxa" w:w="110"/>
            </w:tcMar>
          </w:tcPr>
          <w:p>
            <w:pPr>
              <w:jc w:val="center"/>
            </w:pPr>
            <w:r>
              <w:rPr>
                <w:b w:val="false"/>
                <w:bCs w:val="false"/>
                <w:color w:val="1B2A3A"/>
                <w:sz w:val="20"/>
                <w:szCs w:val="20"/>
              </w:rPr>
              <w:t xml:space="preserve">27 M FCFA</w:t>
            </w:r>
          </w:p>
        </w:tc>
      </w:tr>
    </w:tbl>
    <w:p>
      <w:pPr>
        <w:spacing w:after="80" w:before="200"/>
      </w:pPr>
      <w:r>
        <w:rPr>
          <w:b/>
          <w:bCs/>
          <w:color w:val="FF7A00"/>
          <w:sz w:val="24"/>
          <w:szCs w:val="24"/>
        </w:rPr>
        <w:t xml:space="preserve">Coûts récurrents (par 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2250"/>
        <w:gridCol w:w="2250"/>
      </w:tblGrid>
      <w:tr>
        <w:trPr>
          <w:tblHeader/>
        </w:trPr>
        <w:tc>
          <w:tcPr>
            <w:tcW w:type="dxa" w:w="4526"/>
            <w:shd w:fill="003B7A" w:color="auto" w:val="clear"/>
            <w:tcMar>
              <w:top w:type="dxa" w:w="60"/>
              <w:left w:type="dxa" w:w="110"/>
              <w:bottom w:type="dxa" w:w="60"/>
              <w:right w:type="dxa" w:w="110"/>
            </w:tcMar>
          </w:tcPr>
          <w:p>
            <w:pPr>
              <w:jc w:val="left"/>
            </w:pPr>
            <w:r>
              <w:rPr>
                <w:b/>
                <w:bCs/>
                <w:color w:val="FFFFFF"/>
                <w:sz w:val="20"/>
                <w:szCs w:val="20"/>
              </w:rPr>
              <w:t xml:space="preserve">Poste</w:t>
            </w:r>
          </w:p>
        </w:tc>
        <w:tc>
          <w:tcPr>
            <w:tcW w:type="dxa" w:w="2250"/>
            <w:shd w:fill="003B7A" w:color="auto" w:val="clear"/>
            <w:tcMar>
              <w:top w:type="dxa" w:w="60"/>
              <w:left w:type="dxa" w:w="110"/>
              <w:bottom w:type="dxa" w:w="60"/>
              <w:right w:type="dxa" w:w="110"/>
            </w:tcMar>
          </w:tcPr>
          <w:p>
            <w:pPr>
              <w:jc w:val="center"/>
            </w:pPr>
            <w:r>
              <w:rPr>
                <w:b/>
                <w:bCs/>
                <w:color w:val="FFFFFF"/>
                <w:sz w:val="20"/>
                <w:szCs w:val="20"/>
              </w:rPr>
              <w:t xml:space="preserve">Type</w:t>
            </w:r>
          </w:p>
        </w:tc>
        <w:tc>
          <w:tcPr>
            <w:tcW w:type="dxa" w:w="2250"/>
            <w:shd w:fill="003B7A" w:color="auto" w:val="clear"/>
            <w:tcMar>
              <w:top w:type="dxa" w:w="60"/>
              <w:left w:type="dxa" w:w="110"/>
              <w:bottom w:type="dxa" w:w="60"/>
              <w:right w:type="dxa" w:w="110"/>
            </w:tcMar>
          </w:tcPr>
          <w:p>
            <w:pPr>
              <w:jc w:val="center"/>
            </w:pPr>
            <w:r>
              <w:rPr>
                <w:b/>
                <w:bCs/>
                <w:color w:val="FFFFFF"/>
                <w:sz w:val="20"/>
                <w:szCs w:val="20"/>
              </w:rPr>
              <w:t xml:space="preserve">Montant / an</w:t>
            </w:r>
          </w:p>
        </w:tc>
      </w:tr>
      <w:tr>
        <w:tc>
          <w:tcPr>
            <w:tcW w:type="dxa" w:w="4526"/>
            <w:tcMar>
              <w:top w:type="dxa" w:w="60"/>
              <w:left w:type="dxa" w:w="110"/>
              <w:bottom w:type="dxa" w:w="60"/>
              <w:right w:type="dxa" w:w="110"/>
            </w:tcMar>
          </w:tcPr>
          <w:p>
            <w:pPr>
              <w:jc w:val="left"/>
            </w:pPr>
            <w:r>
              <w:rPr>
                <w:color w:val="1B2A3A"/>
                <w:sz w:val="20"/>
                <w:szCs w:val="20"/>
              </w:rPr>
              <w:t xml:space="preserve">Infrastructure cloud (compute, stockage, API, dashboard)</w:t>
            </w:r>
          </w:p>
        </w:tc>
        <w:tc>
          <w:tcPr>
            <w:tcW w:type="dxa" w:w="2250"/>
            <w:tcMar>
              <w:top w:type="dxa" w:w="60"/>
              <w:left w:type="dxa" w:w="110"/>
              <w:bottom w:type="dxa" w:w="60"/>
              <w:right w:type="dxa" w:w="110"/>
            </w:tcMar>
          </w:tcPr>
          <w:p>
            <w:pPr>
              <w:jc w:val="center"/>
            </w:pPr>
            <w:r>
              <w:rPr>
                <w:color w:val="1B2A3A"/>
                <w:sz w:val="20"/>
                <w:szCs w:val="20"/>
              </w:rPr>
              <w:t xml:space="preserve">Récurrent</w:t>
            </w:r>
          </w:p>
        </w:tc>
        <w:tc>
          <w:tcPr>
            <w:tcW w:type="dxa" w:w="2250"/>
            <w:tcMar>
              <w:top w:type="dxa" w:w="60"/>
              <w:left w:type="dxa" w:w="110"/>
              <w:bottom w:type="dxa" w:w="60"/>
              <w:right w:type="dxa" w:w="110"/>
            </w:tcMar>
          </w:tcPr>
          <w:p>
            <w:pPr>
              <w:jc w:val="center"/>
            </w:pPr>
            <w:r>
              <w:rPr>
                <w:color w:val="1B2A3A"/>
                <w:sz w:val="20"/>
                <w:szCs w:val="20"/>
              </w:rPr>
              <w:t xml:space="preserve">10 M FCFA</w:t>
            </w:r>
          </w:p>
        </w:tc>
      </w:tr>
      <w:tr>
        <w:tc>
          <w:tcPr>
            <w:tcW w:type="dxa" w:w="4526"/>
            <w:shd w:fill="F5F8FB" w:color="auto" w:val="clear"/>
            <w:tcMar>
              <w:top w:type="dxa" w:w="60"/>
              <w:left w:type="dxa" w:w="110"/>
              <w:bottom w:type="dxa" w:w="60"/>
              <w:right w:type="dxa" w:w="110"/>
            </w:tcMar>
          </w:tcPr>
          <w:p>
            <w:pPr>
              <w:jc w:val="left"/>
            </w:pPr>
            <w:r>
              <w:rPr>
                <w:color w:val="1B2A3A"/>
                <w:sz w:val="20"/>
                <w:szCs w:val="20"/>
              </w:rPr>
              <w:t xml:space="preserve">Équipe data (maintenance, mi-temps)</w:t>
            </w:r>
          </w:p>
        </w:tc>
        <w:tc>
          <w:tcPr>
            <w:tcW w:type="dxa" w:w="2250"/>
            <w:shd w:fill="F5F8FB" w:color="auto" w:val="clear"/>
            <w:tcMar>
              <w:top w:type="dxa" w:w="60"/>
              <w:left w:type="dxa" w:w="110"/>
              <w:bottom w:type="dxa" w:w="60"/>
              <w:right w:type="dxa" w:w="110"/>
            </w:tcMar>
          </w:tcPr>
          <w:p>
            <w:pPr>
              <w:jc w:val="center"/>
            </w:pPr>
            <w:r>
              <w:rPr>
                <w:color w:val="1B2A3A"/>
                <w:sz w:val="20"/>
                <w:szCs w:val="20"/>
              </w:rPr>
              <w:t xml:space="preserve">Récurrent</w:t>
            </w:r>
          </w:p>
        </w:tc>
        <w:tc>
          <w:tcPr>
            <w:tcW w:type="dxa" w:w="2250"/>
            <w:shd w:fill="F5F8FB" w:color="auto" w:val="clear"/>
            <w:tcMar>
              <w:top w:type="dxa" w:w="60"/>
              <w:left w:type="dxa" w:w="110"/>
              <w:bottom w:type="dxa" w:w="60"/>
              <w:right w:type="dxa" w:w="110"/>
            </w:tcMar>
          </w:tcPr>
          <w:p>
            <w:pPr>
              <w:jc w:val="center"/>
            </w:pPr>
            <w:r>
              <w:rPr>
                <w:color w:val="1B2A3A"/>
                <w:sz w:val="20"/>
                <w:szCs w:val="20"/>
              </w:rPr>
              <w:t xml:space="preserve">20 M FCFA</w:t>
            </w:r>
          </w:p>
        </w:tc>
      </w:tr>
      <w:tr>
        <w:tc>
          <w:tcPr>
            <w:tcW w:type="dxa" w:w="4526"/>
            <w:tcMar>
              <w:top w:type="dxa" w:w="60"/>
              <w:left w:type="dxa" w:w="110"/>
              <w:bottom w:type="dxa" w:w="60"/>
              <w:right w:type="dxa" w:w="110"/>
            </w:tcMar>
          </w:tcPr>
          <w:p>
            <w:pPr>
              <w:jc w:val="left"/>
            </w:pPr>
            <w:r>
              <w:rPr>
                <w:color w:val="1B2A3A"/>
                <w:sz w:val="20"/>
                <w:szCs w:val="20"/>
              </w:rPr>
              <w:t xml:space="preserve">Maintenance et évolutions</w:t>
            </w:r>
          </w:p>
        </w:tc>
        <w:tc>
          <w:tcPr>
            <w:tcW w:type="dxa" w:w="2250"/>
            <w:tcMar>
              <w:top w:type="dxa" w:w="60"/>
              <w:left w:type="dxa" w:w="110"/>
              <w:bottom w:type="dxa" w:w="60"/>
              <w:right w:type="dxa" w:w="110"/>
            </w:tcMar>
          </w:tcPr>
          <w:p>
            <w:pPr>
              <w:jc w:val="center"/>
            </w:pPr>
            <w:r>
              <w:rPr>
                <w:color w:val="1B2A3A"/>
                <w:sz w:val="20"/>
                <w:szCs w:val="20"/>
              </w:rPr>
              <w:t xml:space="preserve">Récurrent</w:t>
            </w:r>
          </w:p>
        </w:tc>
        <w:tc>
          <w:tcPr>
            <w:tcW w:type="dxa" w:w="2250"/>
            <w:tcMar>
              <w:top w:type="dxa" w:w="60"/>
              <w:left w:type="dxa" w:w="110"/>
              <w:bottom w:type="dxa" w:w="60"/>
              <w:right w:type="dxa" w:w="110"/>
            </w:tcMar>
          </w:tcPr>
          <w:p>
            <w:pPr>
              <w:jc w:val="center"/>
            </w:pPr>
            <w:r>
              <w:rPr>
                <w:color w:val="1B2A3A"/>
                <w:sz w:val="20"/>
                <w:szCs w:val="20"/>
              </w:rPr>
              <w:t xml:space="preserve">4 M FCFA</w:t>
            </w:r>
          </w:p>
        </w:tc>
      </w:tr>
      <w:tr>
        <w:tc>
          <w:tcPr>
            <w:tcW w:type="dxa" w:w="4526"/>
            <w:shd w:fill="F5F8FB" w:color="auto" w:val="clear"/>
            <w:tcMar>
              <w:top w:type="dxa" w:w="60"/>
              <w:left w:type="dxa" w:w="110"/>
              <w:bottom w:type="dxa" w:w="60"/>
              <w:right w:type="dxa" w:w="110"/>
            </w:tcMar>
          </w:tcPr>
          <w:p>
            <w:pPr>
              <w:jc w:val="left"/>
            </w:pPr>
            <w:r>
              <w:rPr>
                <w:color w:val="1B2A3A"/>
                <w:sz w:val="20"/>
                <w:szCs w:val="20"/>
              </w:rPr>
              <w:t xml:space="preserve">Licences et outils (majoritairement open source)</w:t>
            </w:r>
          </w:p>
        </w:tc>
        <w:tc>
          <w:tcPr>
            <w:tcW w:type="dxa" w:w="2250"/>
            <w:shd w:fill="F5F8FB" w:color="auto" w:val="clear"/>
            <w:tcMar>
              <w:top w:type="dxa" w:w="60"/>
              <w:left w:type="dxa" w:w="110"/>
              <w:bottom w:type="dxa" w:w="60"/>
              <w:right w:type="dxa" w:w="110"/>
            </w:tcMar>
          </w:tcPr>
          <w:p>
            <w:pPr>
              <w:jc w:val="center"/>
            </w:pPr>
            <w:r>
              <w:rPr>
                <w:color w:val="1B2A3A"/>
                <w:sz w:val="20"/>
                <w:szCs w:val="20"/>
              </w:rPr>
              <w:t xml:space="preserve">Récurrent</w:t>
            </w:r>
          </w:p>
        </w:tc>
        <w:tc>
          <w:tcPr>
            <w:tcW w:type="dxa" w:w="2250"/>
            <w:shd w:fill="F5F8FB" w:color="auto" w:val="clear"/>
            <w:tcMar>
              <w:top w:type="dxa" w:w="60"/>
              <w:left w:type="dxa" w:w="110"/>
              <w:bottom w:type="dxa" w:w="60"/>
              <w:right w:type="dxa" w:w="110"/>
            </w:tcMar>
          </w:tcPr>
          <w:p>
            <w:pPr>
              <w:jc w:val="center"/>
            </w:pPr>
            <w:r>
              <w:rPr>
                <w:color w:val="1B2A3A"/>
                <w:sz w:val="20"/>
                <w:szCs w:val="20"/>
              </w:rPr>
              <w:t xml:space="preserve">2 M FCFA</w:t>
            </w:r>
          </w:p>
        </w:tc>
      </w:tr>
      <w:tr>
        <w:tc>
          <w:tcPr>
            <w:tcW w:type="dxa" w:w="4526"/>
            <w:shd w:fill="EAF1F9" w:color="auto" w:val="clear"/>
            <w:tcMar>
              <w:top w:type="dxa" w:w="60"/>
              <w:left w:type="dxa" w:w="110"/>
              <w:bottom w:type="dxa" w:w="60"/>
              <w:right w:type="dxa" w:w="110"/>
            </w:tcMar>
          </w:tcPr>
          <w:p>
            <w:pPr>
              <w:jc w:val="left"/>
            </w:pPr>
            <w:r>
              <w:rPr>
                <w:b/>
                <w:bCs/>
                <w:color w:val="1B2A3A"/>
                <w:sz w:val="20"/>
                <w:szCs w:val="20"/>
              </w:rPr>
              <w:t xml:space="preserve">Total coûts récurrents</w:t>
            </w:r>
          </w:p>
        </w:tc>
        <w:tc>
          <w:tcPr>
            <w:tcW w:type="dxa" w:w="2250"/>
            <w:shd w:fill="EAF1F9" w:color="auto" w:val="clear"/>
            <w:tcMar>
              <w:top w:type="dxa" w:w="60"/>
              <w:left w:type="dxa" w:w="110"/>
              <w:bottom w:type="dxa" w:w="60"/>
              <w:right w:type="dxa" w:w="110"/>
            </w:tcMar>
          </w:tcPr>
          <w:p>
            <w:pPr>
              <w:jc w:val="center"/>
            </w:pPr>
            <w:r>
              <w:rPr>
                <w:b w:val="false"/>
                <w:bCs w:val="false"/>
                <w:color w:val="1B2A3A"/>
                <w:sz w:val="20"/>
                <w:szCs w:val="20"/>
              </w:rPr>
              <w:t xml:space="preserve"/>
            </w:r>
          </w:p>
        </w:tc>
        <w:tc>
          <w:tcPr>
            <w:tcW w:type="dxa" w:w="2250"/>
            <w:shd w:fill="EAF1F9" w:color="auto" w:val="clear"/>
            <w:tcMar>
              <w:top w:type="dxa" w:w="60"/>
              <w:left w:type="dxa" w:w="110"/>
              <w:bottom w:type="dxa" w:w="60"/>
              <w:right w:type="dxa" w:w="110"/>
            </w:tcMar>
          </w:tcPr>
          <w:p>
            <w:pPr>
              <w:jc w:val="center"/>
            </w:pPr>
            <w:r>
              <w:rPr>
                <w:b w:val="false"/>
                <w:bCs w:val="false"/>
                <w:color w:val="1B2A3A"/>
                <w:sz w:val="20"/>
                <w:szCs w:val="20"/>
              </w:rPr>
              <w:t xml:space="preserve">36 M FCFA / an</w:t>
            </w:r>
          </w:p>
        </w:tc>
      </w:tr>
    </w:tbl>
    <w:p>
      <w:pPr>
        <w:pBdr>
          <w:bottom w:val="single" w:color="FF7A00" w:sz="12" w:space="4"/>
        </w:pBdr>
        <w:spacing w:after="140" w:before="320"/>
      </w:pPr>
      <w:r>
        <w:rPr>
          <w:b/>
          <w:bCs/>
          <w:color w:val="003B7A"/>
          <w:sz w:val="30"/>
          <w:szCs w:val="30"/>
        </w:rPr>
        <w:t xml:space="preserve">6. Analyse du retour sur investissement</w:t>
      </w:r>
    </w:p>
    <w:p>
      <w:pPr>
        <w:spacing w:after="120"/>
      </w:pPr>
      <w:r>
        <w:rPr>
          <w:color w:val="1B2A3A"/>
          <w:sz w:val="22"/>
          <w:szCs w:val="22"/>
        </w:rPr>
        <w:t xml:space="preserve">Projection sur 3 ans (en millions de FCFA)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500"/>
        <w:gridCol w:w="1500"/>
        <w:gridCol w:w="1500"/>
        <w:gridCol w:w="1500"/>
      </w:tblGrid>
      <w:tr>
        <w:trPr>
          <w:tblHeader/>
        </w:trPr>
        <w:tc>
          <w:tcPr>
            <w:tcW w:type="dxa" w:w="3026"/>
            <w:shd w:fill="003B7A" w:color="auto" w:val="clear"/>
            <w:tcMar>
              <w:top w:type="dxa" w:w="60"/>
              <w:left w:type="dxa" w:w="110"/>
              <w:bottom w:type="dxa" w:w="60"/>
              <w:right w:type="dxa" w:w="110"/>
            </w:tcMar>
          </w:tcPr>
          <w:p>
            <w:pPr>
              <w:jc w:val="left"/>
            </w:pPr>
            <w:r>
              <w:rPr>
                <w:b/>
                <w:bCs/>
                <w:color w:val="FFFFFF"/>
                <w:sz w:val="20"/>
                <w:szCs w:val="20"/>
              </w:rPr>
              <w:t xml:space="preserve">Élément (M FCFA)</w:t>
            </w:r>
          </w:p>
        </w:tc>
        <w:tc>
          <w:tcPr>
            <w:tcW w:type="dxa" w:w="1500"/>
            <w:shd w:fill="003B7A" w:color="auto" w:val="clear"/>
            <w:tcMar>
              <w:top w:type="dxa" w:w="60"/>
              <w:left w:type="dxa" w:w="110"/>
              <w:bottom w:type="dxa" w:w="60"/>
              <w:right w:type="dxa" w:w="110"/>
            </w:tcMar>
          </w:tcPr>
          <w:p>
            <w:pPr>
              <w:jc w:val="center"/>
            </w:pPr>
            <w:r>
              <w:rPr>
                <w:b/>
                <w:bCs/>
                <w:color w:val="FFFFFF"/>
                <w:sz w:val="20"/>
                <w:szCs w:val="20"/>
              </w:rPr>
              <w:t xml:space="preserve">An 0</w:t>
            </w:r>
          </w:p>
        </w:tc>
        <w:tc>
          <w:tcPr>
            <w:tcW w:type="dxa" w:w="1500"/>
            <w:shd w:fill="003B7A" w:color="auto" w:val="clear"/>
            <w:tcMar>
              <w:top w:type="dxa" w:w="60"/>
              <w:left w:type="dxa" w:w="110"/>
              <w:bottom w:type="dxa" w:w="60"/>
              <w:right w:type="dxa" w:w="110"/>
            </w:tcMar>
          </w:tcPr>
          <w:p>
            <w:pPr>
              <w:jc w:val="center"/>
            </w:pPr>
            <w:r>
              <w:rPr>
                <w:b/>
                <w:bCs/>
                <w:color w:val="FFFFFF"/>
                <w:sz w:val="20"/>
                <w:szCs w:val="20"/>
              </w:rPr>
              <w:t xml:space="preserve">An 1</w:t>
            </w:r>
          </w:p>
        </w:tc>
        <w:tc>
          <w:tcPr>
            <w:tcW w:type="dxa" w:w="1500"/>
            <w:shd w:fill="003B7A" w:color="auto" w:val="clear"/>
            <w:tcMar>
              <w:top w:type="dxa" w:w="60"/>
              <w:left w:type="dxa" w:w="110"/>
              <w:bottom w:type="dxa" w:w="60"/>
              <w:right w:type="dxa" w:w="110"/>
            </w:tcMar>
          </w:tcPr>
          <w:p>
            <w:pPr>
              <w:jc w:val="center"/>
            </w:pPr>
            <w:r>
              <w:rPr>
                <w:b/>
                <w:bCs/>
                <w:color w:val="FFFFFF"/>
                <w:sz w:val="20"/>
                <w:szCs w:val="20"/>
              </w:rPr>
              <w:t xml:space="preserve">An 2</w:t>
            </w:r>
          </w:p>
        </w:tc>
        <w:tc>
          <w:tcPr>
            <w:tcW w:type="dxa" w:w="1500"/>
            <w:shd w:fill="003B7A" w:color="auto" w:val="clear"/>
            <w:tcMar>
              <w:top w:type="dxa" w:w="60"/>
              <w:left w:type="dxa" w:w="110"/>
              <w:bottom w:type="dxa" w:w="60"/>
              <w:right w:type="dxa" w:w="110"/>
            </w:tcMar>
          </w:tcPr>
          <w:p>
            <w:pPr>
              <w:jc w:val="center"/>
            </w:pPr>
            <w:r>
              <w:rPr>
                <w:b/>
                <w:bCs/>
                <w:color w:val="FFFFFF"/>
                <w:sz w:val="20"/>
                <w:szCs w:val="20"/>
              </w:rPr>
              <w:t xml:space="preserve">An 3</w:t>
            </w:r>
          </w:p>
        </w:tc>
      </w:tr>
      <w:tr>
        <w:tc>
          <w:tcPr>
            <w:tcW w:type="dxa" w:w="3026"/>
            <w:tcMar>
              <w:top w:type="dxa" w:w="60"/>
              <w:left w:type="dxa" w:w="110"/>
              <w:bottom w:type="dxa" w:w="60"/>
              <w:right w:type="dxa" w:w="110"/>
            </w:tcMar>
          </w:tcPr>
          <w:p>
            <w:pPr>
              <w:jc w:val="left"/>
            </w:pPr>
            <w:r>
              <w:rPr>
                <w:color w:val="1B2A3A"/>
                <w:sz w:val="20"/>
                <w:szCs w:val="20"/>
              </w:rPr>
              <w:t xml:space="preserve">Bénéfices potentiels</w:t>
            </w:r>
          </w:p>
        </w:tc>
        <w:tc>
          <w:tcPr>
            <w:tcW w:type="dxa" w:w="1500"/>
            <w:tcMar>
              <w:top w:type="dxa" w:w="60"/>
              <w:left w:type="dxa" w:w="110"/>
              <w:bottom w:type="dxa" w:w="60"/>
              <w:right w:type="dxa" w:w="110"/>
            </w:tcMar>
          </w:tcPr>
          <w:p>
            <w:pPr>
              <w:jc w:val="center"/>
            </w:pPr>
            <w:r>
              <w:rPr>
                <w:color w:val="1B2A3A"/>
                <w:sz w:val="20"/>
                <w:szCs w:val="20"/>
              </w:rPr>
              <w:t xml:space="preserve">0</w:t>
            </w:r>
          </w:p>
        </w:tc>
        <w:tc>
          <w:tcPr>
            <w:tcW w:type="dxa" w:w="1500"/>
            <w:tcMar>
              <w:top w:type="dxa" w:w="60"/>
              <w:left w:type="dxa" w:w="110"/>
              <w:bottom w:type="dxa" w:w="60"/>
              <w:right w:type="dxa" w:w="110"/>
            </w:tcMar>
          </w:tcPr>
          <w:p>
            <w:pPr>
              <w:jc w:val="center"/>
            </w:pPr>
            <w:r>
              <w:rPr>
                <w:color w:val="1B2A3A"/>
                <w:sz w:val="20"/>
                <w:szCs w:val="20"/>
              </w:rPr>
              <w:t xml:space="preserve">635</w:t>
            </w:r>
          </w:p>
        </w:tc>
        <w:tc>
          <w:tcPr>
            <w:tcW w:type="dxa" w:w="1500"/>
            <w:tcMar>
              <w:top w:type="dxa" w:w="60"/>
              <w:left w:type="dxa" w:w="110"/>
              <w:bottom w:type="dxa" w:w="60"/>
              <w:right w:type="dxa" w:w="110"/>
            </w:tcMar>
          </w:tcPr>
          <w:p>
            <w:pPr>
              <w:jc w:val="center"/>
            </w:pPr>
            <w:r>
              <w:rPr>
                <w:color w:val="1B2A3A"/>
                <w:sz w:val="20"/>
                <w:szCs w:val="20"/>
              </w:rPr>
              <w:t xml:space="preserve">635</w:t>
            </w:r>
          </w:p>
        </w:tc>
        <w:tc>
          <w:tcPr>
            <w:tcW w:type="dxa" w:w="1500"/>
            <w:tcMar>
              <w:top w:type="dxa" w:w="60"/>
              <w:left w:type="dxa" w:w="110"/>
              <w:bottom w:type="dxa" w:w="60"/>
              <w:right w:type="dxa" w:w="110"/>
            </w:tcMar>
          </w:tcPr>
          <w:p>
            <w:pPr>
              <w:jc w:val="center"/>
            </w:pPr>
            <w:r>
              <w:rPr>
                <w:color w:val="1B2A3A"/>
                <w:sz w:val="20"/>
                <w:szCs w:val="20"/>
              </w:rPr>
              <w:t xml:space="preserve">635</w:t>
            </w:r>
          </w:p>
        </w:tc>
      </w:tr>
      <w:tr>
        <w:tc>
          <w:tcPr>
            <w:tcW w:type="dxa" w:w="3026"/>
            <w:shd w:fill="F5F8FB" w:color="auto" w:val="clear"/>
            <w:tcMar>
              <w:top w:type="dxa" w:w="60"/>
              <w:left w:type="dxa" w:w="110"/>
              <w:bottom w:type="dxa" w:w="60"/>
              <w:right w:type="dxa" w:w="110"/>
            </w:tcMar>
          </w:tcPr>
          <w:p>
            <w:pPr>
              <w:jc w:val="left"/>
            </w:pPr>
            <w:r>
              <w:rPr>
                <w:color w:val="1B2A3A"/>
                <w:sz w:val="20"/>
                <w:szCs w:val="20"/>
              </w:rPr>
              <w:t xml:space="preserve">Coûts</w:t>
            </w:r>
          </w:p>
        </w:tc>
        <w:tc>
          <w:tcPr>
            <w:tcW w:type="dxa" w:w="1500"/>
            <w:shd w:fill="F5F8FB" w:color="auto" w:val="clear"/>
            <w:tcMar>
              <w:top w:type="dxa" w:w="60"/>
              <w:left w:type="dxa" w:w="110"/>
              <w:bottom w:type="dxa" w:w="60"/>
              <w:right w:type="dxa" w:w="110"/>
            </w:tcMar>
          </w:tcPr>
          <w:p>
            <w:pPr>
              <w:jc w:val="center"/>
            </w:pPr>
            <w:r>
              <w:rPr>
                <w:color w:val="1B2A3A"/>
                <w:sz w:val="20"/>
                <w:szCs w:val="20"/>
              </w:rPr>
              <w:t xml:space="preserve">27</w:t>
            </w:r>
          </w:p>
        </w:tc>
        <w:tc>
          <w:tcPr>
            <w:tcW w:type="dxa" w:w="1500"/>
            <w:shd w:fill="F5F8FB" w:color="auto" w:val="clear"/>
            <w:tcMar>
              <w:top w:type="dxa" w:w="60"/>
              <w:left w:type="dxa" w:w="110"/>
              <w:bottom w:type="dxa" w:w="60"/>
              <w:right w:type="dxa" w:w="110"/>
            </w:tcMar>
          </w:tcPr>
          <w:p>
            <w:pPr>
              <w:jc w:val="center"/>
            </w:pPr>
            <w:r>
              <w:rPr>
                <w:color w:val="1B2A3A"/>
                <w:sz w:val="20"/>
                <w:szCs w:val="20"/>
              </w:rPr>
              <w:t xml:space="preserve">36</w:t>
            </w:r>
          </w:p>
        </w:tc>
        <w:tc>
          <w:tcPr>
            <w:tcW w:type="dxa" w:w="1500"/>
            <w:shd w:fill="F5F8FB" w:color="auto" w:val="clear"/>
            <w:tcMar>
              <w:top w:type="dxa" w:w="60"/>
              <w:left w:type="dxa" w:w="110"/>
              <w:bottom w:type="dxa" w:w="60"/>
              <w:right w:type="dxa" w:w="110"/>
            </w:tcMar>
          </w:tcPr>
          <w:p>
            <w:pPr>
              <w:jc w:val="center"/>
            </w:pPr>
            <w:r>
              <w:rPr>
                <w:color w:val="1B2A3A"/>
                <w:sz w:val="20"/>
                <w:szCs w:val="20"/>
              </w:rPr>
              <w:t xml:space="preserve">36</w:t>
            </w:r>
          </w:p>
        </w:tc>
        <w:tc>
          <w:tcPr>
            <w:tcW w:type="dxa" w:w="1500"/>
            <w:shd w:fill="F5F8FB" w:color="auto" w:val="clear"/>
            <w:tcMar>
              <w:top w:type="dxa" w:w="60"/>
              <w:left w:type="dxa" w:w="110"/>
              <w:bottom w:type="dxa" w:w="60"/>
              <w:right w:type="dxa" w:w="110"/>
            </w:tcMar>
          </w:tcPr>
          <w:p>
            <w:pPr>
              <w:jc w:val="center"/>
            </w:pPr>
            <w:r>
              <w:rPr>
                <w:color w:val="1B2A3A"/>
                <w:sz w:val="20"/>
                <w:szCs w:val="20"/>
              </w:rPr>
              <w:t xml:space="preserve">36</w:t>
            </w:r>
          </w:p>
        </w:tc>
      </w:tr>
      <w:tr>
        <w:tc>
          <w:tcPr>
            <w:tcW w:type="dxa" w:w="3026"/>
            <w:tcMar>
              <w:top w:type="dxa" w:w="60"/>
              <w:left w:type="dxa" w:w="110"/>
              <w:bottom w:type="dxa" w:w="60"/>
              <w:right w:type="dxa" w:w="110"/>
            </w:tcMar>
          </w:tcPr>
          <w:p>
            <w:pPr>
              <w:jc w:val="left"/>
            </w:pPr>
            <w:r>
              <w:rPr>
                <w:b/>
                <w:bCs/>
                <w:color w:val="1B2A3A"/>
                <w:sz w:val="20"/>
                <w:szCs w:val="20"/>
              </w:rPr>
              <w:t xml:space="preserve">Flux net annuel</w:t>
            </w:r>
          </w:p>
        </w:tc>
        <w:tc>
          <w:tcPr>
            <w:tcW w:type="dxa" w:w="1500"/>
            <w:tcMar>
              <w:top w:type="dxa" w:w="60"/>
              <w:left w:type="dxa" w:w="110"/>
              <w:bottom w:type="dxa" w:w="60"/>
              <w:right w:type="dxa" w:w="110"/>
            </w:tcMar>
          </w:tcPr>
          <w:p>
            <w:pPr>
              <w:jc w:val="center"/>
            </w:pPr>
            <w:r>
              <w:rPr>
                <w:b w:val="false"/>
                <w:bCs w:val="false"/>
                <w:color w:val="1B2A3A"/>
                <w:sz w:val="20"/>
                <w:szCs w:val="20"/>
              </w:rPr>
              <w:t xml:space="preserve">−27</w:t>
            </w:r>
          </w:p>
        </w:tc>
        <w:tc>
          <w:tcPr>
            <w:tcW w:type="dxa" w:w="1500"/>
            <w:tcMar>
              <w:top w:type="dxa" w:w="60"/>
              <w:left w:type="dxa" w:w="110"/>
              <w:bottom w:type="dxa" w:w="60"/>
              <w:right w:type="dxa" w:w="110"/>
            </w:tcMar>
          </w:tcPr>
          <w:p>
            <w:pPr>
              <w:jc w:val="center"/>
            </w:pPr>
            <w:r>
              <w:rPr>
                <w:b w:val="false"/>
                <w:bCs w:val="false"/>
                <w:color w:val="1B2A3A"/>
                <w:sz w:val="20"/>
                <w:szCs w:val="20"/>
              </w:rPr>
              <w:t xml:space="preserve">+599</w:t>
            </w:r>
          </w:p>
        </w:tc>
        <w:tc>
          <w:tcPr>
            <w:tcW w:type="dxa" w:w="1500"/>
            <w:tcMar>
              <w:top w:type="dxa" w:w="60"/>
              <w:left w:type="dxa" w:w="110"/>
              <w:bottom w:type="dxa" w:w="60"/>
              <w:right w:type="dxa" w:w="110"/>
            </w:tcMar>
          </w:tcPr>
          <w:p>
            <w:pPr>
              <w:jc w:val="center"/>
            </w:pPr>
            <w:r>
              <w:rPr>
                <w:b w:val="false"/>
                <w:bCs w:val="false"/>
                <w:color w:val="1B2A3A"/>
                <w:sz w:val="20"/>
                <w:szCs w:val="20"/>
              </w:rPr>
              <w:t xml:space="preserve">+599</w:t>
            </w:r>
          </w:p>
        </w:tc>
        <w:tc>
          <w:tcPr>
            <w:tcW w:type="dxa" w:w="1500"/>
            <w:tcMar>
              <w:top w:type="dxa" w:w="60"/>
              <w:left w:type="dxa" w:w="110"/>
              <w:bottom w:type="dxa" w:w="60"/>
              <w:right w:type="dxa" w:w="110"/>
            </w:tcMar>
          </w:tcPr>
          <w:p>
            <w:pPr>
              <w:jc w:val="center"/>
            </w:pPr>
            <w:r>
              <w:rPr>
                <w:b w:val="false"/>
                <w:bCs w:val="false"/>
                <w:color w:val="1B2A3A"/>
                <w:sz w:val="20"/>
                <w:szCs w:val="20"/>
              </w:rPr>
              <w:t xml:space="preserve">+599</w:t>
            </w:r>
          </w:p>
        </w:tc>
      </w:tr>
      <w:tr>
        <w:tc>
          <w:tcPr>
            <w:tcW w:type="dxa" w:w="3026"/>
            <w:shd w:fill="EAF1F9" w:color="auto" w:val="clear"/>
            <w:tcMar>
              <w:top w:type="dxa" w:w="60"/>
              <w:left w:type="dxa" w:w="110"/>
              <w:bottom w:type="dxa" w:w="60"/>
              <w:right w:type="dxa" w:w="110"/>
            </w:tcMar>
          </w:tcPr>
          <w:p>
            <w:pPr>
              <w:jc w:val="left"/>
            </w:pPr>
            <w:r>
              <w:rPr>
                <w:b/>
                <w:bCs/>
                <w:color w:val="1B2A3A"/>
                <w:sz w:val="20"/>
                <w:szCs w:val="20"/>
              </w:rPr>
              <w:t xml:space="preserve">Flux net cumulé</w:t>
            </w:r>
          </w:p>
        </w:tc>
        <w:tc>
          <w:tcPr>
            <w:tcW w:type="dxa" w:w="1500"/>
            <w:shd w:fill="EAF1F9" w:color="auto" w:val="clear"/>
            <w:tcMar>
              <w:top w:type="dxa" w:w="60"/>
              <w:left w:type="dxa" w:w="110"/>
              <w:bottom w:type="dxa" w:w="60"/>
              <w:right w:type="dxa" w:w="110"/>
            </w:tcMar>
          </w:tcPr>
          <w:p>
            <w:pPr>
              <w:jc w:val="center"/>
            </w:pPr>
            <w:r>
              <w:rPr>
                <w:b w:val="false"/>
                <w:bCs w:val="false"/>
                <w:color w:val="1B2A3A"/>
                <w:sz w:val="20"/>
                <w:szCs w:val="20"/>
              </w:rPr>
              <w:t xml:space="preserve">−27</w:t>
            </w:r>
          </w:p>
        </w:tc>
        <w:tc>
          <w:tcPr>
            <w:tcW w:type="dxa" w:w="1500"/>
            <w:shd w:fill="EAF1F9" w:color="auto" w:val="clear"/>
            <w:tcMar>
              <w:top w:type="dxa" w:w="60"/>
              <w:left w:type="dxa" w:w="110"/>
              <w:bottom w:type="dxa" w:w="60"/>
              <w:right w:type="dxa" w:w="110"/>
            </w:tcMar>
          </w:tcPr>
          <w:p>
            <w:pPr>
              <w:jc w:val="center"/>
            </w:pPr>
            <w:r>
              <w:rPr>
                <w:b w:val="false"/>
                <w:bCs w:val="false"/>
                <w:color w:val="1B2A3A"/>
                <w:sz w:val="20"/>
                <w:szCs w:val="20"/>
              </w:rPr>
              <w:t xml:space="preserve">+572</w:t>
            </w:r>
          </w:p>
        </w:tc>
        <w:tc>
          <w:tcPr>
            <w:tcW w:type="dxa" w:w="1500"/>
            <w:shd w:fill="EAF1F9" w:color="auto" w:val="clear"/>
            <w:tcMar>
              <w:top w:type="dxa" w:w="60"/>
              <w:left w:type="dxa" w:w="110"/>
              <w:bottom w:type="dxa" w:w="60"/>
              <w:right w:type="dxa" w:w="110"/>
            </w:tcMar>
          </w:tcPr>
          <w:p>
            <w:pPr>
              <w:jc w:val="center"/>
            </w:pPr>
            <w:r>
              <w:rPr>
                <w:b w:val="false"/>
                <w:bCs w:val="false"/>
                <w:color w:val="1B2A3A"/>
                <w:sz w:val="20"/>
                <w:szCs w:val="20"/>
              </w:rPr>
              <w:t xml:space="preserve">+1 171</w:t>
            </w:r>
          </w:p>
        </w:tc>
        <w:tc>
          <w:tcPr>
            <w:tcW w:type="dxa" w:w="1500"/>
            <w:shd w:fill="EAF1F9" w:color="auto" w:val="clear"/>
            <w:tcMar>
              <w:top w:type="dxa" w:w="60"/>
              <w:left w:type="dxa" w:w="110"/>
              <w:bottom w:type="dxa" w:w="60"/>
              <w:right w:type="dxa" w:w="110"/>
            </w:tcMar>
          </w:tcPr>
          <w:p>
            <w:pPr>
              <w:jc w:val="center"/>
            </w:pPr>
            <w:r>
              <w:rPr>
                <w:b w:val="false"/>
                <w:bCs w:val="false"/>
                <w:color w:val="1B2A3A"/>
                <w:sz w:val="20"/>
                <w:szCs w:val="20"/>
              </w:rPr>
              <w:t xml:space="preserve">+1 770</w:t>
            </w:r>
          </w:p>
        </w:tc>
      </w:tr>
    </w:tbl>
    <w:p>
      <w:pPr>
        <w:spacing w:after="100"/>
      </w:pPr>
    </w:p>
    <w:p>
      <w:pPr>
        <w:spacing w:after="120"/>
      </w:pPr>
      <w:r>
        <w:rPr>
          <w:i/>
          <w:iCs/>
          <w:color w:val="1B2A3A"/>
          <w:sz w:val="22"/>
          <w:szCs w:val="22"/>
        </w:rPr>
        <w:t xml:space="preserve">Le tableau présente le bénéfice potentiel en régime établi. En pratique, la première année est une montée en charge (déploiement progressif) : le bénéfice réel de l'an 1 est plus faible et le retour sur investissement un peu plus long — le projet reste néanmoins largement rentable.</w:t>
      </w:r>
    </w:p>
    <w:p>
      <w:pPr>
        <w:pStyle w:val="ListParagraph"/>
        <w:numPr>
          <w:ilvl w:val="0"/>
          <w:numId w:val="1"/>
        </w:numPr>
        <w:spacing w:after="70"/>
      </w:pPr>
      <w:r>
        <w:rPr>
          <w:b/>
          <w:bCs/>
          <w:color w:val="003B7A"/>
          <w:sz w:val="22"/>
          <w:szCs w:val="22"/>
        </w:rPr>
        <w:t xml:space="preserve">Délai de rentabilité (payback) : </w:t>
      </w:r>
      <w:r>
        <w:rPr>
          <w:color w:val="1B2A3A"/>
          <w:sz w:val="22"/>
          <w:szCs w:val="22"/>
        </w:rPr>
        <w:t xml:space="preserve">de l'ordre de quelques mois d'exploitation (moins de 2 mois en régime établi, un peu plus avec la montée en charge).</w:t>
      </w:r>
    </w:p>
    <w:p>
      <w:pPr>
        <w:pStyle w:val="ListParagraph"/>
        <w:numPr>
          <w:ilvl w:val="0"/>
          <w:numId w:val="1"/>
        </w:numPr>
        <w:spacing w:after="70"/>
      </w:pPr>
      <w:r>
        <w:rPr>
          <w:b/>
          <w:bCs/>
          <w:color w:val="003B7A"/>
          <w:sz w:val="22"/>
          <w:szCs w:val="22"/>
        </w:rPr>
        <w:t xml:space="preserve">ROI sur 3 ans : </w:t>
      </w:r>
      <w:r>
        <w:rPr>
          <w:color w:val="1B2A3A"/>
          <w:sz w:val="22"/>
          <w:szCs w:val="22"/>
        </w:rPr>
        <w:t xml:space="preserve">≈ 1 300 % (1 770 M de flux nets cumulés pour 135 M de coûts totaux).</w:t>
      </w:r>
    </w:p>
    <w:p>
      <w:pPr>
        <w:pBdr>
          <w:left w:val="single" w:color="FF7A00" w:sz="18" w:space="6"/>
        </w:pBdr>
        <w:shd w:fill="EAF1F9" w:color="auto" w:val="clear"/>
        <w:spacing w:after="120" w:before="100"/>
      </w:pPr>
      <w:r>
        <w:rPr>
          <w:b/>
          <w:bCs/>
          <w:color w:val="FF7A00"/>
          <w:sz w:val="22"/>
          <w:szCs w:val="22"/>
        </w:rPr>
        <w:t xml:space="preserve">Sensibilité : </w:t>
      </w:r>
      <w:r>
        <w:rPr>
          <w:color w:val="1B2A3A"/>
          <w:sz w:val="22"/>
          <w:szCs w:val="22"/>
        </w:rPr>
        <w:t xml:space="preserve">même dans un scénario ultra-prudent où seul le pricing est activé et à 20 % du potentiel (≈ 126 M FCFA/an), le projet reste rentable en moins d'un an. La rentabilité ne dépend donc pas des hypothèses optimistes.</w:t>
      </w:r>
    </w:p>
    <w:p>
      <w:pPr>
        <w:pBdr>
          <w:bottom w:val="single" w:color="FF7A00" w:sz="12" w:space="4"/>
        </w:pBdr>
        <w:spacing w:after="140" w:before="320"/>
      </w:pPr>
      <w:r>
        <w:rPr>
          <w:b/>
          <w:bCs/>
          <w:color w:val="003B7A"/>
          <w:sz w:val="30"/>
          <w:szCs w:val="30"/>
        </w:rPr>
        <w:t xml:space="preserve">7. Risques principaux</w:t>
      </w:r>
    </w:p>
    <w:p>
      <w:pPr>
        <w:spacing w:after="120"/>
      </w:pPr>
      <w:r>
        <w:rPr>
          <w:color w:val="1B2A3A"/>
          <w:sz w:val="22"/>
          <w:szCs w:val="22"/>
        </w:rPr>
        <w:t xml:space="preserve">Les risques sont détaillés dans le registre des risques du cadrage. Les plus structurants pour le business case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2713"/>
        <w:gridCol w:w="2713"/>
      </w:tblGrid>
      <w:tr>
        <w:trPr>
          <w:tblHeader/>
        </w:trPr>
        <w:tc>
          <w:tcPr>
            <w:tcW w:type="dxa" w:w="3600"/>
            <w:shd w:fill="003B7A" w:color="auto" w:val="clear"/>
            <w:tcMar>
              <w:top w:type="dxa" w:w="60"/>
              <w:left w:type="dxa" w:w="110"/>
              <w:bottom w:type="dxa" w:w="60"/>
              <w:right w:type="dxa" w:w="110"/>
            </w:tcMar>
          </w:tcPr>
          <w:p>
            <w:pPr>
              <w:jc w:val="left"/>
            </w:pPr>
            <w:r>
              <w:rPr>
                <w:b/>
                <w:bCs/>
                <w:color w:val="FFFFFF"/>
                <w:sz w:val="20"/>
                <w:szCs w:val="20"/>
              </w:rPr>
              <w:t xml:space="preserve">Risque</w:t>
            </w:r>
          </w:p>
        </w:tc>
        <w:tc>
          <w:tcPr>
            <w:tcW w:type="dxa" w:w="2713"/>
            <w:shd w:fill="003B7A" w:color="auto" w:val="clear"/>
            <w:tcMar>
              <w:top w:type="dxa" w:w="60"/>
              <w:left w:type="dxa" w:w="110"/>
              <w:bottom w:type="dxa" w:w="60"/>
              <w:right w:type="dxa" w:w="110"/>
            </w:tcMar>
          </w:tcPr>
          <w:p>
            <w:pPr>
              <w:jc w:val="center"/>
            </w:pPr>
            <w:r>
              <w:rPr>
                <w:b/>
                <w:bCs/>
                <w:color w:val="FFFFFF"/>
                <w:sz w:val="20"/>
                <w:szCs w:val="20"/>
              </w:rPr>
              <w:t xml:space="preserve">Impact</w:t>
            </w:r>
          </w:p>
        </w:tc>
        <w:tc>
          <w:tcPr>
            <w:tcW w:type="dxa" w:w="2713"/>
            <w:shd w:fill="003B7A" w:color="auto" w:val="clear"/>
            <w:tcMar>
              <w:top w:type="dxa" w:w="60"/>
              <w:left w:type="dxa" w:w="110"/>
              <w:bottom w:type="dxa" w:w="60"/>
              <w:right w:type="dxa" w:w="110"/>
            </w:tcMar>
          </w:tcPr>
          <w:p>
            <w:pPr>
              <w:jc w:val="center"/>
            </w:pPr>
            <w:r>
              <w:rPr>
                <w:b/>
                <w:bCs/>
                <w:color w:val="FFFFFF"/>
                <w:sz w:val="20"/>
                <w:szCs w:val="20"/>
              </w:rPr>
              <w:t xml:space="preserve">Parade</w:t>
            </w:r>
          </w:p>
        </w:tc>
      </w:tr>
      <w:tr>
        <w:tc>
          <w:tcPr>
            <w:tcW w:type="dxa" w:w="3600"/>
            <w:tcMar>
              <w:top w:type="dxa" w:w="60"/>
              <w:left w:type="dxa" w:w="110"/>
              <w:bottom w:type="dxa" w:w="60"/>
              <w:right w:type="dxa" w:w="110"/>
            </w:tcMar>
          </w:tcPr>
          <w:p>
            <w:pPr>
              <w:jc w:val="left"/>
            </w:pPr>
            <w:r>
              <w:rPr>
                <w:color w:val="1B2A3A"/>
                <w:sz w:val="20"/>
                <w:szCs w:val="20"/>
              </w:rPr>
              <w:t xml:space="preserve">Élasticité surestimée / effet concurrence</w:t>
            </w:r>
          </w:p>
        </w:tc>
        <w:tc>
          <w:tcPr>
            <w:tcW w:type="dxa" w:w="2713"/>
            <w:tcMar>
              <w:top w:type="dxa" w:w="60"/>
              <w:left w:type="dxa" w:w="110"/>
              <w:bottom w:type="dxa" w:w="60"/>
              <w:right w:type="dxa" w:w="110"/>
            </w:tcMar>
          </w:tcPr>
          <w:p>
            <w:pPr>
              <w:jc w:val="center"/>
            </w:pPr>
            <w:r>
              <w:rPr>
                <w:color w:val="1B2A3A"/>
                <w:sz w:val="20"/>
                <w:szCs w:val="20"/>
              </w:rPr>
              <w:t xml:space="preserve">Bénéfice pricing plus faible</w:t>
            </w:r>
          </w:p>
        </w:tc>
        <w:tc>
          <w:tcPr>
            <w:tcW w:type="dxa" w:w="2713"/>
            <w:tcMar>
              <w:top w:type="dxa" w:w="60"/>
              <w:left w:type="dxa" w:w="110"/>
              <w:bottom w:type="dxa" w:w="60"/>
              <w:right w:type="dxa" w:w="110"/>
            </w:tcMar>
          </w:tcPr>
          <w:p>
            <w:pPr>
              <w:jc w:val="center"/>
            </w:pPr>
            <w:r>
              <w:rPr>
                <w:color w:val="1B2A3A"/>
                <w:sz w:val="20"/>
                <w:szCs w:val="20"/>
              </w:rPr>
              <w:t xml:space="preserve">Déploiement progressif + A/B test</w:t>
            </w:r>
          </w:p>
        </w:tc>
      </w:tr>
      <w:tr>
        <w:tc>
          <w:tcPr>
            <w:tcW w:type="dxa" w:w="3600"/>
            <w:shd w:fill="F5F8FB" w:color="auto" w:val="clear"/>
            <w:tcMar>
              <w:top w:type="dxa" w:w="60"/>
              <w:left w:type="dxa" w:w="110"/>
              <w:bottom w:type="dxa" w:w="60"/>
              <w:right w:type="dxa" w:w="110"/>
            </w:tcMar>
          </w:tcPr>
          <w:p>
            <w:pPr>
              <w:jc w:val="left"/>
            </w:pPr>
            <w:r>
              <w:rPr>
                <w:color w:val="1B2A3A"/>
                <w:sz w:val="20"/>
                <w:szCs w:val="20"/>
              </w:rPr>
              <w:t xml:space="preserve">Recommandation peu performante</w:t>
            </w:r>
          </w:p>
        </w:tc>
        <w:tc>
          <w:tcPr>
            <w:tcW w:type="dxa" w:w="2713"/>
            <w:shd w:fill="F5F8FB" w:color="auto" w:val="clear"/>
            <w:tcMar>
              <w:top w:type="dxa" w:w="60"/>
              <w:left w:type="dxa" w:w="110"/>
              <w:bottom w:type="dxa" w:w="60"/>
              <w:right w:type="dxa" w:w="110"/>
            </w:tcMar>
          </w:tcPr>
          <w:p>
            <w:pPr>
              <w:jc w:val="center"/>
            </w:pPr>
            <w:r>
              <w:rPr>
                <w:color w:val="1B2A3A"/>
                <w:sz w:val="20"/>
                <w:szCs w:val="20"/>
              </w:rPr>
              <w:t xml:space="preserve">Gain cross-sell limité</w:t>
            </w:r>
          </w:p>
        </w:tc>
        <w:tc>
          <w:tcPr>
            <w:tcW w:type="dxa" w:w="2713"/>
            <w:shd w:fill="F5F8FB" w:color="auto" w:val="clear"/>
            <w:tcMar>
              <w:top w:type="dxa" w:w="60"/>
              <w:left w:type="dxa" w:w="110"/>
              <w:bottom w:type="dxa" w:w="60"/>
              <w:right w:type="dxa" w:w="110"/>
            </w:tcMar>
          </w:tcPr>
          <w:p>
            <w:pPr>
              <w:jc w:val="center"/>
            </w:pPr>
            <w:r>
              <w:rPr>
                <w:color w:val="1B2A3A"/>
                <w:sz w:val="20"/>
                <w:szCs w:val="20"/>
              </w:rPr>
              <w:t xml:space="preserve">Valider par A/B test avant généralisation</w:t>
            </w:r>
          </w:p>
        </w:tc>
      </w:tr>
      <w:tr>
        <w:tc>
          <w:tcPr>
            <w:tcW w:type="dxa" w:w="3600"/>
            <w:tcMar>
              <w:top w:type="dxa" w:w="60"/>
              <w:left w:type="dxa" w:w="110"/>
              <w:bottom w:type="dxa" w:w="60"/>
              <w:right w:type="dxa" w:w="110"/>
            </w:tcMar>
          </w:tcPr>
          <w:p>
            <w:pPr>
              <w:jc w:val="left"/>
            </w:pPr>
            <w:r>
              <w:rPr>
                <w:color w:val="1B2A3A"/>
                <w:sz w:val="20"/>
                <w:szCs w:val="20"/>
              </w:rPr>
              <w:t xml:space="preserve">Dérive des modèles dans le temps</w:t>
            </w:r>
          </w:p>
        </w:tc>
        <w:tc>
          <w:tcPr>
            <w:tcW w:type="dxa" w:w="2713"/>
            <w:tcMar>
              <w:top w:type="dxa" w:w="60"/>
              <w:left w:type="dxa" w:w="110"/>
              <w:bottom w:type="dxa" w:w="60"/>
              <w:right w:type="dxa" w:w="110"/>
            </w:tcMar>
          </w:tcPr>
          <w:p>
            <w:pPr>
              <w:jc w:val="center"/>
            </w:pPr>
            <w:r>
              <w:rPr>
                <w:color w:val="1B2A3A"/>
                <w:sz w:val="20"/>
                <w:szCs w:val="20"/>
              </w:rPr>
              <w:t xml:space="preserve">Décisions dégradées</w:t>
            </w:r>
          </w:p>
        </w:tc>
        <w:tc>
          <w:tcPr>
            <w:tcW w:type="dxa" w:w="2713"/>
            <w:tcMar>
              <w:top w:type="dxa" w:w="60"/>
              <w:left w:type="dxa" w:w="110"/>
              <w:bottom w:type="dxa" w:w="60"/>
              <w:right w:type="dxa" w:w="110"/>
            </w:tcMar>
          </w:tcPr>
          <w:p>
            <w:pPr>
              <w:jc w:val="center"/>
            </w:pPr>
            <w:r>
              <w:rPr>
                <w:color w:val="1B2A3A"/>
                <w:sz w:val="20"/>
                <w:szCs w:val="20"/>
              </w:rPr>
              <w:t xml:space="preserve">Monitoring PSI + ré-entraînement (MLOps)</w:t>
            </w:r>
          </w:p>
        </w:tc>
      </w:tr>
      <w:tr>
        <w:tc>
          <w:tcPr>
            <w:tcW w:type="dxa" w:w="3600"/>
            <w:shd w:fill="F5F8FB" w:color="auto" w:val="clear"/>
            <w:tcMar>
              <w:top w:type="dxa" w:w="60"/>
              <w:left w:type="dxa" w:w="110"/>
              <w:bottom w:type="dxa" w:w="60"/>
              <w:right w:type="dxa" w:w="110"/>
            </w:tcMar>
          </w:tcPr>
          <w:p>
            <w:pPr>
              <w:jc w:val="left"/>
            </w:pPr>
            <w:r>
              <w:rPr>
                <w:color w:val="1B2A3A"/>
                <w:sz w:val="20"/>
                <w:szCs w:val="20"/>
              </w:rPr>
              <w:t xml:space="preserve">Conformité RGPD</w:t>
            </w:r>
          </w:p>
        </w:tc>
        <w:tc>
          <w:tcPr>
            <w:tcW w:type="dxa" w:w="2713"/>
            <w:shd w:fill="F5F8FB" w:color="auto" w:val="clear"/>
            <w:tcMar>
              <w:top w:type="dxa" w:w="60"/>
              <w:left w:type="dxa" w:w="110"/>
              <w:bottom w:type="dxa" w:w="60"/>
              <w:right w:type="dxa" w:w="110"/>
            </w:tcMar>
          </w:tcPr>
          <w:p>
            <w:pPr>
              <w:jc w:val="center"/>
            </w:pPr>
            <w:r>
              <w:rPr>
                <w:color w:val="1B2A3A"/>
                <w:sz w:val="20"/>
                <w:szCs w:val="20"/>
              </w:rPr>
              <w:t xml:space="preserve">Réglementaire</w:t>
            </w:r>
          </w:p>
        </w:tc>
        <w:tc>
          <w:tcPr>
            <w:tcW w:type="dxa" w:w="2713"/>
            <w:shd w:fill="F5F8FB" w:color="auto" w:val="clear"/>
            <w:tcMar>
              <w:top w:type="dxa" w:w="60"/>
              <w:left w:type="dxa" w:w="110"/>
              <w:bottom w:type="dxa" w:w="60"/>
              <w:right w:type="dxa" w:w="110"/>
            </w:tcMar>
          </w:tcPr>
          <w:p>
            <w:pPr>
              <w:jc w:val="center"/>
            </w:pPr>
            <w:r>
              <w:rPr>
                <w:color w:val="1B2A3A"/>
                <w:sz w:val="20"/>
                <w:szCs w:val="20"/>
              </w:rPr>
              <w:t xml:space="preserve">Données synthétiques + note RGPD dédiée</w:t>
            </w:r>
          </w:p>
        </w:tc>
      </w:tr>
    </w:tbl>
    <w:p>
      <w:pPr>
        <w:pBdr>
          <w:bottom w:val="single" w:color="FF7A00" w:sz="12" w:space="4"/>
        </w:pBdr>
        <w:spacing w:after="140" w:before="320"/>
      </w:pPr>
      <w:r>
        <w:rPr>
          <w:b/>
          <w:bCs/>
          <w:color w:val="003B7A"/>
          <w:sz w:val="30"/>
          <w:szCs w:val="30"/>
        </w:rPr>
        <w:t xml:space="preserve">8. Recommandation</w:t>
      </w:r>
    </w:p>
    <w:p>
      <w:pPr>
        <w:spacing w:after="120"/>
      </w:pPr>
      <w:r>
        <w:rPr>
          <w:color w:val="1B2A3A"/>
          <w:sz w:val="22"/>
          <w:szCs w:val="22"/>
        </w:rPr>
        <w:t xml:space="preserve">Le rapport bénéfices/coûts est très favorable et robuste aux hypothèses. Nous recommandons de lancer le projet, selon un déploiement maîtrisé :</w:t>
      </w:r>
    </w:p>
    <w:p>
      <w:pPr>
        <w:pStyle w:val="ListParagraph"/>
        <w:numPr>
          <w:ilvl w:val="0"/>
          <w:numId w:val="1"/>
        </w:numPr>
        <w:spacing w:after="70"/>
      </w:pPr>
      <w:r>
        <w:rPr>
          <w:b/>
          <w:bCs/>
          <w:color w:val="003B7A"/>
          <w:sz w:val="22"/>
          <w:szCs w:val="22"/>
        </w:rPr>
        <w:t xml:space="preserve">1. </w:t>
      </w:r>
      <w:r>
        <w:rPr>
          <w:color w:val="1B2A3A"/>
          <w:sz w:val="22"/>
          <w:szCs w:val="22"/>
        </w:rPr>
        <w:t xml:space="preserve">commencer par le pricing dynamique (bénéfice le plus solide et le plus rapide).</w:t>
      </w:r>
    </w:p>
    <w:p>
      <w:pPr>
        <w:pStyle w:val="ListParagraph"/>
        <w:numPr>
          <w:ilvl w:val="0"/>
          <w:numId w:val="1"/>
        </w:numPr>
        <w:spacing w:after="70"/>
      </w:pPr>
      <w:r>
        <w:rPr>
          <w:b/>
          <w:bCs/>
          <w:color w:val="003B7A"/>
          <w:sz w:val="22"/>
          <w:szCs w:val="22"/>
        </w:rPr>
        <w:t xml:space="preserve">2. </w:t>
      </w:r>
      <w:r>
        <w:rPr>
          <w:color w:val="1B2A3A"/>
          <w:sz w:val="22"/>
          <w:szCs w:val="22"/>
        </w:rPr>
        <w:t xml:space="preserve">activer la prévision pour piloter le surstock (capital immobilisé important).</w:t>
      </w:r>
    </w:p>
    <w:p>
      <w:pPr>
        <w:pStyle w:val="ListParagraph"/>
        <w:numPr>
          <w:ilvl w:val="0"/>
          <w:numId w:val="1"/>
        </w:numPr>
        <w:spacing w:after="70"/>
      </w:pPr>
      <w:r>
        <w:rPr>
          <w:b/>
          <w:bCs/>
          <w:color w:val="003B7A"/>
          <w:sz w:val="22"/>
          <w:szCs w:val="22"/>
        </w:rPr>
        <w:t xml:space="preserve">3. </w:t>
      </w:r>
      <w:r>
        <w:rPr>
          <w:color w:val="1B2A3A"/>
          <w:sz w:val="22"/>
          <w:szCs w:val="22"/>
        </w:rPr>
        <w:t xml:space="preserve">généraliser la recommandation après validation par A/B test.</w:t>
      </w:r>
    </w:p>
    <w:p>
      <w:pPr>
        <w:pStyle w:val="ListParagraph"/>
        <w:numPr>
          <w:ilvl w:val="0"/>
          <w:numId w:val="1"/>
        </w:numPr>
        <w:spacing w:after="70"/>
      </w:pPr>
      <w:r>
        <w:rPr>
          <w:b/>
          <w:bCs/>
          <w:color w:val="003B7A"/>
          <w:sz w:val="22"/>
          <w:szCs w:val="22"/>
        </w:rPr>
        <w:t xml:space="preserve">4. </w:t>
      </w:r>
      <w:r>
        <w:rPr>
          <w:color w:val="1B2A3A"/>
          <w:sz w:val="22"/>
          <w:szCs w:val="22"/>
        </w:rPr>
        <w:t xml:space="preserve">maintenir le monitoring MLOps en continu pour garantir la qualité des décisions.</w:t>
      </w:r>
    </w:p>
    <w:p>
      <w:pPr>
        <w:spacing w:after="120"/>
      </w:pPr>
    </w:p>
    <w:p>
      <w:pPr>
        <w:spacing w:after="120"/>
      </w:pPr>
      <w:r>
        <w:rPr>
          <w:b/>
          <w:bCs/>
          <w:color w:val="1B2A3A"/>
          <w:sz w:val="22"/>
          <w:szCs w:val="22"/>
        </w:rPr>
        <w:t xml:space="preserve">En synthèse : un investissement modeste (≈ 27 M FCFA) sur une base de revenus de 33,6 Md FCFA, avec un retour en quelques semaines. Le projet est recommandé.</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d4ee4af0a30584fd1122a9b45d72f35adfe6e4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Case — Teranga Market</dc:title>
  <dc:creator>Teranga Market</dc:creator>
  <cp:lastModifiedBy>Un-named</cp:lastModifiedBy>
  <cp:revision>1</cp:revision>
  <dcterms:created xsi:type="dcterms:W3CDTF">2026-08-15T22:57:29.266Z</dcterms:created>
  <dcterms:modified xsi:type="dcterms:W3CDTF">2026-08-15T22:57:29.268Z</dcterms:modified>
</cp:coreProperties>
</file>

<file path=docProps/custom.xml><?xml version="1.0" encoding="utf-8"?>
<Properties xmlns="http://schemas.openxmlformats.org/officeDocument/2006/custom-properties" xmlns:vt="http://schemas.openxmlformats.org/officeDocument/2006/docPropsVTypes"/>
</file>