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drawing>
          <wp:inline distT="0" distB="0" distL="0" distR="0">
            <wp:extent cx="2857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1905000"/>
                    </a:xfrm>
                    <a:prstGeom prst="rect">
                      <a:avLst/>
                    </a:prstGeom>
                  </pic:spPr>
                </pic:pic>
              </a:graphicData>
            </a:graphic>
          </wp:inline>
        </w:drawing>
      </w:r>
    </w:p>
    <w:p>
      <w:pPr>
        <w:spacing w:after="60" w:before="300"/>
        <w:jc w:val="center"/>
      </w:pPr>
      <w:r>
        <w:rPr>
          <w:b/>
          <w:bCs/>
          <w:color w:val="003B7A"/>
          <w:sz w:val="56"/>
          <w:szCs w:val="56"/>
        </w:rPr>
        <w:t xml:space="preserve">RAPPORT FINAL</w:t>
      </w:r>
    </w:p>
    <w:p>
      <w:pPr>
        <w:spacing w:after="40"/>
        <w:jc w:val="center"/>
      </w:pPr>
      <w:r>
        <w:rPr>
          <w:b/>
          <w:bCs/>
          <w:color w:val="FF7A00"/>
          <w:sz w:val="28"/>
          <w:szCs w:val="28"/>
        </w:rPr>
        <w:t xml:space="preserve">Plateforme de Data-Driven Pricing et de Recommandation</w:t>
      </w:r>
    </w:p>
    <w:p>
      <w:pPr>
        <w:spacing w:after="400"/>
        <w:jc w:val="center"/>
      </w:pPr>
      <w:r>
        <w:rPr>
          <w:i/>
          <w:iCs/>
          <w:color w:val="6B7887"/>
          <w:sz w:val="22"/>
          <w:szCs w:val="22"/>
        </w:rPr>
        <w:t xml:space="preserve">Teranga Market — e-commerce électronique &amp; accessoires</w:t>
      </w:r>
    </w:p>
    <w:p>
      <w:pPr>
        <w:spacing w:after="30"/>
        <w:jc w:val="center"/>
      </w:pPr>
      <w:r>
        <w:rPr>
          <w:b/>
          <w:bCs/>
          <w:color w:val="003B7A"/>
          <w:sz w:val="20"/>
          <w:szCs w:val="20"/>
        </w:rPr>
        <w:t xml:space="preserve">Module : </w:t>
      </w:r>
      <w:r>
        <w:rPr>
          <w:color w:val="1B2A3A"/>
          <w:sz w:val="20"/>
          <w:szCs w:val="20"/>
        </w:rPr>
        <w:t xml:space="preserve">Gestion de Projet Data &amp; E-Business</w:t>
      </w:r>
    </w:p>
    <w:p>
      <w:pPr>
        <w:spacing w:after="30"/>
        <w:jc w:val="center"/>
      </w:pPr>
      <w:r>
        <w:rPr>
          <w:b/>
          <w:bCs/>
          <w:color w:val="003B7A"/>
          <w:sz w:val="20"/>
          <w:szCs w:val="20"/>
        </w:rPr>
        <w:t xml:space="preserve">Formation : </w:t>
      </w:r>
      <w:r>
        <w:rPr>
          <w:color w:val="1B2A3A"/>
          <w:sz w:val="20"/>
          <w:szCs w:val="20"/>
        </w:rPr>
        <w:t xml:space="preserve">Master 2 Big Data — ISM</w:t>
      </w:r>
    </w:p>
    <w:p>
      <w:pPr>
        <w:spacing w:after="30"/>
        <w:jc w:val="center"/>
      </w:pPr>
      <w:r>
        <w:rPr>
          <w:b/>
          <w:bCs/>
          <w:color w:val="003B7A"/>
          <w:sz w:val="20"/>
          <w:szCs w:val="20"/>
        </w:rPr>
        <w:t xml:space="preserve">Chef de projet : </w:t>
      </w:r>
      <w:r>
        <w:rPr>
          <w:color w:val="1B2A3A"/>
          <w:sz w:val="20"/>
          <w:szCs w:val="20"/>
        </w:rPr>
        <w:t xml:space="preserve">Pauline N. N. CISSE</w:t>
      </w:r>
    </w:p>
    <w:p>
      <w:pPr>
        <w:spacing w:after="30"/>
        <w:jc w:val="center"/>
      </w:pPr>
      <w:r>
        <w:rPr>
          <w:b/>
          <w:bCs/>
          <w:color w:val="003B7A"/>
          <w:sz w:val="20"/>
          <w:szCs w:val="20"/>
        </w:rPr>
        <w:t xml:space="preserve">Équipe : </w:t>
      </w:r>
      <w:r>
        <w:rPr>
          <w:color w:val="1B2A3A"/>
          <w:sz w:val="20"/>
          <w:szCs w:val="20"/>
        </w:rPr>
        <w:t xml:space="preserve">P1 Pauline CISSE · P2 Luc-Yvan NZEE EVOUNDZA · P3 Nihad TRAORE · P4 Sona KOULIBALY</w:t>
      </w:r>
    </w:p>
    <w:p>
      <w:pPr>
        <w:spacing w:after="30"/>
        <w:jc w:val="center"/>
      </w:pPr>
      <w:r>
        <w:rPr>
          <w:b/>
          <w:bCs/>
          <w:color w:val="003B7A"/>
          <w:sz w:val="20"/>
          <w:szCs w:val="20"/>
        </w:rPr>
        <w:t xml:space="preserve">Date : </w:t>
      </w:r>
      <w:r>
        <w:rPr>
          <w:color w:val="1B2A3A"/>
          <w:sz w:val="20"/>
          <w:szCs w:val="20"/>
        </w:rPr>
        <w:t xml:space="preserve">Août 2026</w:t>
      </w:r>
    </w:p>
    <w:p>
      <w:pPr>
        <w:spacing w:after="30"/>
        <w:jc w:val="center"/>
      </w:pPr>
      <w:r>
        <w:rPr>
          <w:b/>
          <w:bCs/>
          <w:color w:val="003B7A"/>
          <w:sz w:val="20"/>
          <w:szCs w:val="20"/>
        </w:rPr>
        <w:t xml:space="preserve">Version : </w:t>
      </w:r>
      <w:r>
        <w:rPr>
          <w:color w:val="1B2A3A"/>
          <w:sz w:val="20"/>
          <w:szCs w:val="20"/>
        </w:rPr>
        <w:t xml:space="preserve">1.0</w:t>
      </w:r>
    </w:p>
    <w:p>
      <w:r>
        <w:br w:type="page"/>
      </w:r>
    </w:p>
    <w:p>
      <w:pPr>
        <w:spacing w:after="140"/>
      </w:pPr>
      <w:r>
        <w:rPr>
          <w:b/>
          <w:bCs/>
          <w:color w:val="003B7A"/>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FF7A00" w:sz="12" w:space="4"/>
        </w:pBdr>
        <w:spacing w:after="130" w:before="300"/>
        <w:outlineLvl w:val="0"/>
      </w:pPr>
      <w:r>
        <w:rPr>
          <w:b/>
          <w:bCs/>
          <w:color w:val="003B7A"/>
          <w:sz w:val="28"/>
          <w:szCs w:val="28"/>
        </w:rPr>
        <w:t xml:space="preserve">1. Résumé exécutif</w:t>
      </w:r>
    </w:p>
    <w:p>
      <w:pPr>
        <w:spacing w:after="120"/>
      </w:pPr>
      <w:r>
        <w:rPr>
          <w:color w:val="1B2A3A"/>
          <w:sz w:val="22"/>
          <w:szCs w:val="22"/>
        </w:rPr>
        <w:t xml:space="preserve">Teranga Market, e-commerce local d'électronique (33,6 Md FCFA de chiffre d'affaires annuel, 26,7 % de marge), souffre de prix fixes, de ruptures et surstock, et d'un catalogue mal exploité. Ce projet conçoit et livre une plateforme data-driven qui automatise trois décisions clés : prévoir la demande, optimiser les prix et recommander les bons produits.</w:t>
      </w:r>
    </w:p>
    <w:p>
      <w:pPr>
        <w:spacing w:after="120"/>
      </w:pPr>
      <w:r>
        <w:rPr>
          <w:color w:val="1B2A3A"/>
          <w:sz w:val="22"/>
          <w:szCs w:val="22"/>
        </w:rPr>
        <w:t xml:space="preserve">La chaîne fonctionne de bout en bout, des données brutes jusqu'à une décision visible dans un tableau de bord décisionnel, en passant par trois modèles évalués, une API dockerisée et un MLOps léger.</w:t>
      </w:r>
    </w:p>
    <w:p>
      <w:pPr>
        <w:spacing w:after="120"/>
      </w:pPr>
      <w:r>
        <w:rPr>
          <w:b/>
          <w:bCs/>
          <w:color w:val="1B2A3A"/>
          <w:sz w:val="22"/>
          <w:szCs w:val="22"/>
        </w:rPr>
        <w:t xml:space="preserve">Résultats clés : la prévision réduit l'erreur de 43 % par rapport à une baseline naïve ; l'optimisation des prix dégage +3,8 % de marge ; la recommandation apporte de la personnalisation. La valeur business est estimée, en scénario prudent et en régime établi, à environ 635 M FCFA/an pour un coût récurrent de ~36 M FCFA/an, soit un retour sur investissement très favorable.</w:t>
      </w:r>
    </w:p>
    <w:p>
      <w:pPr>
        <w:pBdr>
          <w:left w:val="single" w:color="1E8449" w:sz="18" w:space="6"/>
        </w:pBdr>
        <w:shd w:fill="EAF1F9" w:color="auto" w:val="clear"/>
        <w:spacing w:after="130" w:before="60"/>
      </w:pPr>
      <w:r>
        <w:rPr>
          <w:b/>
          <w:bCs/>
          <w:color w:val="1E8449"/>
          <w:sz w:val="22"/>
          <w:szCs w:val="22"/>
        </w:rPr>
        <w:t xml:space="preserve">Recommandation : </w:t>
      </w:r>
      <w:r>
        <w:rPr>
          <w:color w:val="1B2A3A"/>
          <w:sz w:val="22"/>
          <w:szCs w:val="22"/>
        </w:rPr>
        <w:t xml:space="preserve">lancer le projet selon un déploiement progressif (pricing d'abord, puis prévision/stock, puis recommandation après validation par A/B test), avec un monitoring continu des modèles.</w:t>
      </w:r>
    </w:p>
    <w:p>
      <w:pPr>
        <w:pStyle w:val="Heading1"/>
        <w:pBdr>
          <w:bottom w:val="single" w:color="FF7A00" w:sz="12" w:space="4"/>
        </w:pBdr>
        <w:spacing w:after="130" w:before="300"/>
        <w:outlineLvl w:val="0"/>
      </w:pPr>
      <w:r>
        <w:rPr>
          <w:b/>
          <w:bCs/>
          <w:color w:val="003B7A"/>
          <w:sz w:val="28"/>
          <w:szCs w:val="28"/>
        </w:rPr>
        <w:t xml:space="preserve">2. Contexte et problématique</w:t>
      </w:r>
    </w:p>
    <w:p>
      <w:pPr>
        <w:spacing w:after="120"/>
      </w:pPr>
      <w:r>
        <w:rPr>
          <w:color w:val="1B2A3A"/>
          <w:sz w:val="22"/>
          <w:szCs w:val="22"/>
        </w:rPr>
        <w:t xml:space="preserve">Teranga Market compte environ 10 000 clients et 500 références réparties en 7 catégories, pour environ 100 000 ventes sur 12 mois. Trois difficultés pèsent sur la marge et la fidélisation :</w:t>
      </w:r>
    </w:p>
    <w:p>
      <w:pPr>
        <w:pStyle w:val="ListParagraph"/>
        <w:numPr>
          <w:ilvl w:val="0"/>
          <w:numId w:val="1"/>
        </w:numPr>
        <w:spacing w:after="60"/>
      </w:pPr>
      <w:r>
        <w:rPr>
          <w:b/>
          <w:bCs/>
          <w:color w:val="003B7A"/>
          <w:sz w:val="22"/>
          <w:szCs w:val="22"/>
        </w:rPr>
        <w:t xml:space="preserve">Prix fixes — </w:t>
      </w:r>
      <w:r>
        <w:rPr>
          <w:color w:val="1B2A3A"/>
          <w:sz w:val="22"/>
          <w:szCs w:val="22"/>
        </w:rPr>
        <w:t xml:space="preserve">les prix ne s'adaptent ni à la demande ni à l'élasticité, laissant de la marge inexploitée.</w:t>
      </w:r>
    </w:p>
    <w:p>
      <w:pPr>
        <w:pStyle w:val="ListParagraph"/>
        <w:numPr>
          <w:ilvl w:val="0"/>
          <w:numId w:val="1"/>
        </w:numPr>
        <w:spacing w:after="60"/>
      </w:pPr>
      <w:r>
        <w:rPr>
          <w:b/>
          <w:bCs/>
          <w:color w:val="003B7A"/>
          <w:sz w:val="22"/>
          <w:szCs w:val="22"/>
        </w:rPr>
        <w:t xml:space="preserve">Stocks — </w:t>
      </w:r>
      <w:r>
        <w:rPr>
          <w:color w:val="1B2A3A"/>
          <w:sz w:val="22"/>
          <w:szCs w:val="22"/>
        </w:rPr>
        <w:t xml:space="preserve">ruptures sur les produits populaires et surstock ailleurs (17,2 Md FCFA de stock immobilisé au coût), générant des coûts logistiques et de possession.</w:t>
      </w:r>
    </w:p>
    <w:p>
      <w:pPr>
        <w:pStyle w:val="ListParagraph"/>
        <w:numPr>
          <w:ilvl w:val="0"/>
          <w:numId w:val="1"/>
        </w:numPr>
        <w:spacing w:after="60"/>
      </w:pPr>
      <w:r>
        <w:rPr>
          <w:b/>
          <w:bCs/>
          <w:color w:val="003B7A"/>
          <w:sz w:val="22"/>
          <w:szCs w:val="22"/>
        </w:rPr>
        <w:t xml:space="preserve">Catalogue — </w:t>
      </w:r>
      <w:r>
        <w:rPr>
          <w:color w:val="1B2A3A"/>
          <w:sz w:val="22"/>
          <w:szCs w:val="22"/>
        </w:rPr>
        <w:t xml:space="preserve">catalogue trop large où le client trouve difficilement les produits pertinents, d'où un panier moyen faible.</w:t>
      </w:r>
    </w:p>
    <w:p>
      <w:pPr>
        <w:pStyle w:val="Heading1"/>
        <w:pBdr>
          <w:bottom w:val="single" w:color="FF7A00" w:sz="12" w:space="4"/>
        </w:pBdr>
        <w:spacing w:after="130" w:before="300"/>
        <w:outlineLvl w:val="0"/>
      </w:pPr>
      <w:r>
        <w:rPr>
          <w:b/>
          <w:bCs/>
          <w:color w:val="003B7A"/>
          <w:sz w:val="28"/>
          <w:szCs w:val="28"/>
        </w:rPr>
        <w:t xml:space="preserve">3. Objectifs du projet</w:t>
      </w:r>
    </w:p>
    <w:p>
      <w:pPr>
        <w:spacing w:after="120"/>
      </w:pPr>
      <w:r>
        <w:rPr>
          <w:color w:val="1B2A3A"/>
          <w:sz w:val="22"/>
          <w:szCs w:val="22"/>
        </w:rPr>
        <w:t xml:space="preserve">Quatre objectifs SMART cadrent la création de valeur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626"/>
        <w:gridCol w:w="1750"/>
        <w:gridCol w:w="1750"/>
      </w:tblGrid>
      <w:tr>
        <w:trPr>
          <w:tblHeader/>
        </w:trPr>
        <w:tc>
          <w:tcPr>
            <w:tcW w:type="dxa" w:w="900"/>
            <w:shd w:fill="003B7A" w:color="auto" w:val="clear"/>
            <w:tcMar>
              <w:top w:type="dxa" w:w="55"/>
              <w:left w:type="dxa" w:w="100"/>
              <w:bottom w:type="dxa" w:w="55"/>
              <w:right w:type="dxa" w:w="100"/>
            </w:tcMar>
          </w:tcPr>
          <w:p>
            <w:pPr>
              <w:jc w:val="left"/>
            </w:pPr>
            <w:r>
              <w:rPr>
                <w:b/>
                <w:bCs/>
                <w:color w:val="FFFFFF"/>
                <w:sz w:val="19"/>
                <w:szCs w:val="19"/>
              </w:rPr>
              <w:t xml:space="preserve">#</w:t>
            </w:r>
          </w:p>
        </w:tc>
        <w:tc>
          <w:tcPr>
            <w:tcW w:type="dxa" w:w="4626"/>
            <w:shd w:fill="003B7A" w:color="auto" w:val="clear"/>
            <w:tcMar>
              <w:top w:type="dxa" w:w="55"/>
              <w:left w:type="dxa" w:w="100"/>
              <w:bottom w:type="dxa" w:w="55"/>
              <w:right w:type="dxa" w:w="100"/>
            </w:tcMar>
          </w:tcPr>
          <w:p>
            <w:pPr>
              <w:jc w:val="center"/>
            </w:pPr>
            <w:r>
              <w:rPr>
                <w:b/>
                <w:bCs/>
                <w:color w:val="FFFFFF"/>
                <w:sz w:val="19"/>
                <w:szCs w:val="19"/>
              </w:rPr>
              <w:t xml:space="preserve">Objectif</w:t>
            </w:r>
          </w:p>
        </w:tc>
        <w:tc>
          <w:tcPr>
            <w:tcW w:type="dxa" w:w="1750"/>
            <w:shd w:fill="003B7A" w:color="auto" w:val="clear"/>
            <w:tcMar>
              <w:top w:type="dxa" w:w="55"/>
              <w:left w:type="dxa" w:w="100"/>
              <w:bottom w:type="dxa" w:w="55"/>
              <w:right w:type="dxa" w:w="100"/>
            </w:tcMar>
          </w:tcPr>
          <w:p>
            <w:pPr>
              <w:jc w:val="center"/>
            </w:pPr>
            <w:r>
              <w:rPr>
                <w:b/>
                <w:bCs/>
                <w:color w:val="FFFFFF"/>
                <w:sz w:val="19"/>
                <w:szCs w:val="19"/>
              </w:rPr>
              <w:t xml:space="preserve">Cible</w:t>
            </w:r>
          </w:p>
        </w:tc>
        <w:tc>
          <w:tcPr>
            <w:tcW w:type="dxa" w:w="1750"/>
            <w:shd w:fill="003B7A" w:color="auto" w:val="clear"/>
            <w:tcMar>
              <w:top w:type="dxa" w:w="55"/>
              <w:left w:type="dxa" w:w="100"/>
              <w:bottom w:type="dxa" w:w="55"/>
              <w:right w:type="dxa" w:w="100"/>
            </w:tcMar>
          </w:tcPr>
          <w:p>
            <w:pPr>
              <w:jc w:val="center"/>
            </w:pPr>
            <w:r>
              <w:rPr>
                <w:b/>
                <w:bCs/>
                <w:color w:val="FFFFFF"/>
                <w:sz w:val="19"/>
                <w:szCs w:val="19"/>
              </w:rPr>
              <w:t xml:space="preserve">Échéance</w:t>
            </w:r>
          </w:p>
        </w:tc>
      </w:tr>
      <w:tr>
        <w:tc>
          <w:tcPr>
            <w:tcW w:type="dxa" w:w="900"/>
            <w:tcMar>
              <w:top w:type="dxa" w:w="55"/>
              <w:left w:type="dxa" w:w="100"/>
              <w:bottom w:type="dxa" w:w="55"/>
              <w:right w:type="dxa" w:w="100"/>
            </w:tcMar>
          </w:tcPr>
          <w:p>
            <w:pPr>
              <w:jc w:val="left"/>
            </w:pPr>
            <w:r>
              <w:rPr>
                <w:color w:val="1B2A3A"/>
                <w:sz w:val="19"/>
                <w:szCs w:val="19"/>
              </w:rPr>
              <w:t xml:space="preserve">O1</w:t>
            </w:r>
          </w:p>
        </w:tc>
        <w:tc>
          <w:tcPr>
            <w:tcW w:type="dxa" w:w="4626"/>
            <w:tcMar>
              <w:top w:type="dxa" w:w="55"/>
              <w:left w:type="dxa" w:w="100"/>
              <w:bottom w:type="dxa" w:w="55"/>
              <w:right w:type="dxa" w:w="100"/>
            </w:tcMar>
          </w:tcPr>
          <w:p>
            <w:pPr>
              <w:jc w:val="center"/>
            </w:pPr>
            <w:r>
              <w:rPr>
                <w:color w:val="1B2A3A"/>
                <w:sz w:val="19"/>
                <w:szCs w:val="19"/>
              </w:rPr>
              <w:t xml:space="preserve">Améliorer la marge brute (pricing dynamique)</w:t>
            </w:r>
          </w:p>
        </w:tc>
        <w:tc>
          <w:tcPr>
            <w:tcW w:type="dxa" w:w="1750"/>
            <w:tcMar>
              <w:top w:type="dxa" w:w="55"/>
              <w:left w:type="dxa" w:w="100"/>
              <w:bottom w:type="dxa" w:w="55"/>
              <w:right w:type="dxa" w:w="100"/>
            </w:tcMar>
          </w:tcPr>
          <w:p>
            <w:pPr>
              <w:jc w:val="center"/>
            </w:pPr>
            <w:r>
              <w:rPr>
                <w:color w:val="1B2A3A"/>
                <w:sz w:val="19"/>
                <w:szCs w:val="19"/>
              </w:rPr>
              <w:t xml:space="preserve">+8 %</w:t>
            </w:r>
          </w:p>
        </w:tc>
        <w:tc>
          <w:tcPr>
            <w:tcW w:type="dxa" w:w="1750"/>
            <w:tcMar>
              <w:top w:type="dxa" w:w="55"/>
              <w:left w:type="dxa" w:w="100"/>
              <w:bottom w:type="dxa" w:w="55"/>
              <w:right w:type="dxa" w:w="100"/>
            </w:tcMar>
          </w:tcPr>
          <w:p>
            <w:pPr>
              <w:jc w:val="center"/>
            </w:pPr>
            <w:r>
              <w:rPr>
                <w:color w:val="1B2A3A"/>
                <w:sz w:val="19"/>
                <w:szCs w:val="19"/>
              </w:rPr>
              <w:t xml:space="preserve">6 mois</w:t>
            </w:r>
          </w:p>
        </w:tc>
      </w:tr>
      <w:tr>
        <w:tc>
          <w:tcPr>
            <w:tcW w:type="dxa" w:w="900"/>
            <w:shd w:fill="F5F8FB" w:color="auto" w:val="clear"/>
            <w:tcMar>
              <w:top w:type="dxa" w:w="55"/>
              <w:left w:type="dxa" w:w="100"/>
              <w:bottom w:type="dxa" w:w="55"/>
              <w:right w:type="dxa" w:w="100"/>
            </w:tcMar>
          </w:tcPr>
          <w:p>
            <w:pPr>
              <w:jc w:val="left"/>
            </w:pPr>
            <w:r>
              <w:rPr>
                <w:color w:val="1B2A3A"/>
                <w:sz w:val="19"/>
                <w:szCs w:val="19"/>
              </w:rPr>
              <w:t xml:space="preserve">O2</w:t>
            </w:r>
          </w:p>
        </w:tc>
        <w:tc>
          <w:tcPr>
            <w:tcW w:type="dxa" w:w="4626"/>
            <w:shd w:fill="F5F8FB" w:color="auto" w:val="clear"/>
            <w:tcMar>
              <w:top w:type="dxa" w:w="55"/>
              <w:left w:type="dxa" w:w="100"/>
              <w:bottom w:type="dxa" w:w="55"/>
              <w:right w:type="dxa" w:w="100"/>
            </w:tcMar>
          </w:tcPr>
          <w:p>
            <w:pPr>
              <w:jc w:val="center"/>
            </w:pPr>
            <w:r>
              <w:rPr>
                <w:color w:val="1B2A3A"/>
                <w:sz w:val="19"/>
                <w:szCs w:val="19"/>
              </w:rPr>
              <w:t xml:space="preserve">Réduire les ruptures de stock (prévision)</w:t>
            </w:r>
          </w:p>
        </w:tc>
        <w:tc>
          <w:tcPr>
            <w:tcW w:type="dxa" w:w="1750"/>
            <w:shd w:fill="F5F8FB" w:color="auto" w:val="clear"/>
            <w:tcMar>
              <w:top w:type="dxa" w:w="55"/>
              <w:left w:type="dxa" w:w="100"/>
              <w:bottom w:type="dxa" w:w="55"/>
              <w:right w:type="dxa" w:w="100"/>
            </w:tcMar>
          </w:tcPr>
          <w:p>
            <w:pPr>
              <w:jc w:val="center"/>
            </w:pPr>
            <w:r>
              <w:rPr>
                <w:color w:val="1B2A3A"/>
                <w:sz w:val="19"/>
                <w:szCs w:val="19"/>
              </w:rPr>
              <w:t xml:space="preserve">−20 %</w:t>
            </w:r>
          </w:p>
        </w:tc>
        <w:tc>
          <w:tcPr>
            <w:tcW w:type="dxa" w:w="1750"/>
            <w:shd w:fill="F5F8FB" w:color="auto" w:val="clear"/>
            <w:tcMar>
              <w:top w:type="dxa" w:w="55"/>
              <w:left w:type="dxa" w:w="100"/>
              <w:bottom w:type="dxa" w:w="55"/>
              <w:right w:type="dxa" w:w="100"/>
            </w:tcMar>
          </w:tcPr>
          <w:p>
            <w:pPr>
              <w:jc w:val="center"/>
            </w:pPr>
            <w:r>
              <w:rPr>
                <w:color w:val="1B2A3A"/>
                <w:sz w:val="19"/>
                <w:szCs w:val="19"/>
              </w:rPr>
              <w:t xml:space="preserve">6 mois</w:t>
            </w:r>
          </w:p>
        </w:tc>
      </w:tr>
      <w:tr>
        <w:tc>
          <w:tcPr>
            <w:tcW w:type="dxa" w:w="900"/>
            <w:tcMar>
              <w:top w:type="dxa" w:w="55"/>
              <w:left w:type="dxa" w:w="100"/>
              <w:bottom w:type="dxa" w:w="55"/>
              <w:right w:type="dxa" w:w="100"/>
            </w:tcMar>
          </w:tcPr>
          <w:p>
            <w:pPr>
              <w:jc w:val="left"/>
            </w:pPr>
            <w:r>
              <w:rPr>
                <w:color w:val="1B2A3A"/>
                <w:sz w:val="19"/>
                <w:szCs w:val="19"/>
              </w:rPr>
              <w:t xml:space="preserve">O3</w:t>
            </w:r>
          </w:p>
        </w:tc>
        <w:tc>
          <w:tcPr>
            <w:tcW w:type="dxa" w:w="4626"/>
            <w:tcMar>
              <w:top w:type="dxa" w:w="55"/>
              <w:left w:type="dxa" w:w="100"/>
              <w:bottom w:type="dxa" w:w="55"/>
              <w:right w:type="dxa" w:w="100"/>
            </w:tcMar>
          </w:tcPr>
          <w:p>
            <w:pPr>
              <w:jc w:val="center"/>
            </w:pPr>
            <w:r>
              <w:rPr>
                <w:color w:val="1B2A3A"/>
                <w:sz w:val="19"/>
                <w:szCs w:val="19"/>
              </w:rPr>
              <w:t xml:space="preserve">Augmenter la conversion (recommandation)</w:t>
            </w:r>
          </w:p>
        </w:tc>
        <w:tc>
          <w:tcPr>
            <w:tcW w:type="dxa" w:w="1750"/>
            <w:tcMar>
              <w:top w:type="dxa" w:w="55"/>
              <w:left w:type="dxa" w:w="100"/>
              <w:bottom w:type="dxa" w:w="55"/>
              <w:right w:type="dxa" w:w="100"/>
            </w:tcMar>
          </w:tcPr>
          <w:p>
            <w:pPr>
              <w:jc w:val="center"/>
            </w:pPr>
            <w:r>
              <w:rPr>
                <w:color w:val="1B2A3A"/>
                <w:sz w:val="19"/>
                <w:szCs w:val="19"/>
              </w:rPr>
              <w:t xml:space="preserve">+15 %</w:t>
            </w:r>
          </w:p>
        </w:tc>
        <w:tc>
          <w:tcPr>
            <w:tcW w:type="dxa" w:w="1750"/>
            <w:tcMar>
              <w:top w:type="dxa" w:w="55"/>
              <w:left w:type="dxa" w:w="100"/>
              <w:bottom w:type="dxa" w:w="55"/>
              <w:right w:type="dxa" w:w="100"/>
            </w:tcMar>
          </w:tcPr>
          <w:p>
            <w:pPr>
              <w:jc w:val="center"/>
            </w:pPr>
            <w:r>
              <w:rPr>
                <w:color w:val="1B2A3A"/>
                <w:sz w:val="19"/>
                <w:szCs w:val="19"/>
              </w:rPr>
              <w:t xml:space="preserve">6 mois</w:t>
            </w:r>
          </w:p>
        </w:tc>
      </w:tr>
      <w:tr>
        <w:tc>
          <w:tcPr>
            <w:tcW w:type="dxa" w:w="900"/>
            <w:shd w:fill="F5F8FB" w:color="auto" w:val="clear"/>
            <w:tcMar>
              <w:top w:type="dxa" w:w="55"/>
              <w:left w:type="dxa" w:w="100"/>
              <w:bottom w:type="dxa" w:w="55"/>
              <w:right w:type="dxa" w:w="100"/>
            </w:tcMar>
          </w:tcPr>
          <w:p>
            <w:pPr>
              <w:jc w:val="left"/>
            </w:pPr>
            <w:r>
              <w:rPr>
                <w:color w:val="1B2A3A"/>
                <w:sz w:val="19"/>
                <w:szCs w:val="19"/>
              </w:rPr>
              <w:t xml:space="preserve">O4</w:t>
            </w:r>
          </w:p>
        </w:tc>
        <w:tc>
          <w:tcPr>
            <w:tcW w:type="dxa" w:w="4626"/>
            <w:shd w:fill="F5F8FB" w:color="auto" w:val="clear"/>
            <w:tcMar>
              <w:top w:type="dxa" w:w="55"/>
              <w:left w:type="dxa" w:w="100"/>
              <w:bottom w:type="dxa" w:w="55"/>
              <w:right w:type="dxa" w:w="100"/>
            </w:tcMar>
          </w:tcPr>
          <w:p>
            <w:pPr>
              <w:jc w:val="center"/>
            </w:pPr>
            <w:r>
              <w:rPr>
                <w:color w:val="1B2A3A"/>
                <w:sz w:val="19"/>
                <w:szCs w:val="19"/>
              </w:rPr>
              <w:t xml:space="preserve">Réduire l'attrition client (churn)</w:t>
            </w:r>
          </w:p>
        </w:tc>
        <w:tc>
          <w:tcPr>
            <w:tcW w:type="dxa" w:w="1750"/>
            <w:shd w:fill="F5F8FB" w:color="auto" w:val="clear"/>
            <w:tcMar>
              <w:top w:type="dxa" w:w="55"/>
              <w:left w:type="dxa" w:w="100"/>
              <w:bottom w:type="dxa" w:w="55"/>
              <w:right w:type="dxa" w:w="100"/>
            </w:tcMar>
          </w:tcPr>
          <w:p>
            <w:pPr>
              <w:jc w:val="center"/>
            </w:pPr>
            <w:r>
              <w:rPr>
                <w:color w:val="1B2A3A"/>
                <w:sz w:val="19"/>
                <w:szCs w:val="19"/>
              </w:rPr>
              <w:t xml:space="preserve">−10 %</w:t>
            </w:r>
          </w:p>
        </w:tc>
        <w:tc>
          <w:tcPr>
            <w:tcW w:type="dxa" w:w="1750"/>
            <w:shd w:fill="F5F8FB" w:color="auto" w:val="clear"/>
            <w:tcMar>
              <w:top w:type="dxa" w:w="55"/>
              <w:left w:type="dxa" w:w="100"/>
              <w:bottom w:type="dxa" w:w="55"/>
              <w:right w:type="dxa" w:w="100"/>
            </w:tcMar>
          </w:tcPr>
          <w:p>
            <w:pPr>
              <w:jc w:val="center"/>
            </w:pPr>
            <w:r>
              <w:rPr>
                <w:color w:val="1B2A3A"/>
                <w:sz w:val="19"/>
                <w:szCs w:val="19"/>
              </w:rPr>
              <w:t xml:space="preserve">6 mois</w:t>
            </w:r>
          </w:p>
        </w:tc>
      </w:tr>
    </w:tbl>
    <w:p>
      <w:pPr>
        <w:pStyle w:val="Heading1"/>
        <w:pBdr>
          <w:bottom w:val="single" w:color="FF7A00" w:sz="12" w:space="4"/>
        </w:pBdr>
        <w:spacing w:after="130" w:before="300"/>
        <w:outlineLvl w:val="0"/>
      </w:pPr>
      <w:r>
        <w:rPr>
          <w:b/>
          <w:bCs/>
          <w:color w:val="003B7A"/>
          <w:sz w:val="28"/>
          <w:szCs w:val="28"/>
        </w:rPr>
        <w:t xml:space="preserve">4. Démarche et architecture</w:t>
      </w:r>
    </w:p>
    <w:p>
      <w:pPr>
        <w:spacing w:after="120"/>
      </w:pPr>
      <w:r>
        <w:rPr>
          <w:color w:val="1B2A3A"/>
          <w:sz w:val="22"/>
          <w:szCs w:val="22"/>
        </w:rPr>
        <w:t xml:space="preserve">L'architecture suit une chaîne de la donnée en six couches, de la source à la décision :</w:t>
      </w:r>
    </w:p>
    <w:p>
      <w:pPr>
        <w:pStyle w:val="ListParagraph"/>
        <w:numPr>
          <w:ilvl w:val="0"/>
          <w:numId w:val="1"/>
        </w:numPr>
        <w:spacing w:after="60"/>
      </w:pPr>
      <w:r>
        <w:rPr>
          <w:b/>
          <w:bCs/>
          <w:color w:val="003B7A"/>
          <w:sz w:val="22"/>
          <w:szCs w:val="22"/>
        </w:rPr>
        <w:t xml:space="preserve">Sources — </w:t>
      </w:r>
      <w:r>
        <w:rPr>
          <w:color w:val="1B2A3A"/>
          <w:sz w:val="22"/>
          <w:szCs w:val="22"/>
        </w:rPr>
        <w:t xml:space="preserve">applications mobile/web, site e-commerce, logs de navigation.</w:t>
      </w:r>
    </w:p>
    <w:p>
      <w:pPr>
        <w:pStyle w:val="ListParagraph"/>
        <w:numPr>
          <w:ilvl w:val="0"/>
          <w:numId w:val="1"/>
        </w:numPr>
        <w:spacing w:after="60"/>
      </w:pPr>
      <w:r>
        <w:rPr>
          <w:b/>
          <w:bCs/>
          <w:color w:val="003B7A"/>
          <w:sz w:val="22"/>
          <w:szCs w:val="22"/>
        </w:rPr>
        <w:t xml:space="preserve">Ingestion — </w:t>
      </w:r>
      <w:r>
        <w:rPr>
          <w:color w:val="1B2A3A"/>
          <w:sz w:val="22"/>
          <w:szCs w:val="22"/>
        </w:rPr>
        <w:t xml:space="preserve">Kafka pour le flux temps réel (streaming simulé), Spark pour le traitement par lots (batch).</w:t>
      </w:r>
    </w:p>
    <w:p>
      <w:pPr>
        <w:pStyle w:val="ListParagraph"/>
        <w:numPr>
          <w:ilvl w:val="0"/>
          <w:numId w:val="1"/>
        </w:numPr>
        <w:spacing w:after="60"/>
      </w:pPr>
      <w:r>
        <w:rPr>
          <w:b/>
          <w:bCs/>
          <w:color w:val="003B7A"/>
          <w:sz w:val="22"/>
          <w:szCs w:val="22"/>
        </w:rPr>
        <w:t xml:space="preserve">Stockage — </w:t>
      </w:r>
      <w:r>
        <w:rPr>
          <w:color w:val="1B2A3A"/>
          <w:sz w:val="22"/>
          <w:szCs w:val="22"/>
        </w:rPr>
        <w:t xml:space="preserve">Data Lake (Parquet) pour la donnée brute, Data Warehouse (DuckDB) pour la donnée structurée en modèle étoile.</w:t>
      </w:r>
    </w:p>
    <w:p>
      <w:pPr>
        <w:pStyle w:val="ListParagraph"/>
        <w:numPr>
          <w:ilvl w:val="0"/>
          <w:numId w:val="1"/>
        </w:numPr>
        <w:spacing w:after="60"/>
      </w:pPr>
      <w:r>
        <w:rPr>
          <w:b/>
          <w:bCs/>
          <w:color w:val="003B7A"/>
          <w:sz w:val="22"/>
          <w:szCs w:val="22"/>
        </w:rPr>
        <w:t xml:space="preserve">Modèles — </w:t>
      </w:r>
      <w:r>
        <w:rPr>
          <w:color w:val="1B2A3A"/>
          <w:sz w:val="22"/>
          <w:szCs w:val="22"/>
        </w:rPr>
        <w:t xml:space="preserve">les trois moteurs intelligents : prévision, pricing, recommandation.</w:t>
      </w:r>
    </w:p>
    <w:p>
      <w:pPr>
        <w:pStyle w:val="ListParagraph"/>
        <w:numPr>
          <w:ilvl w:val="0"/>
          <w:numId w:val="1"/>
        </w:numPr>
        <w:spacing w:after="60"/>
      </w:pPr>
      <w:r>
        <w:rPr>
          <w:b/>
          <w:bCs/>
          <w:color w:val="003B7A"/>
          <w:sz w:val="22"/>
          <w:szCs w:val="22"/>
        </w:rPr>
        <w:t xml:space="preserve">Exposition — </w:t>
      </w:r>
      <w:r>
        <w:rPr>
          <w:color w:val="1B2A3A"/>
          <w:sz w:val="22"/>
          <w:szCs w:val="22"/>
        </w:rPr>
        <w:t xml:space="preserve">API REST (FastAPI, dockerisée) exposant prix et recommandations.</w:t>
      </w:r>
    </w:p>
    <w:p>
      <w:pPr>
        <w:pStyle w:val="ListParagraph"/>
        <w:numPr>
          <w:ilvl w:val="0"/>
          <w:numId w:val="1"/>
        </w:numPr>
        <w:spacing w:after="60"/>
      </w:pPr>
      <w:r>
        <w:rPr>
          <w:b/>
          <w:bCs/>
          <w:color w:val="003B7A"/>
          <w:sz w:val="22"/>
          <w:szCs w:val="22"/>
        </w:rPr>
        <w:t xml:space="preserve">Restitution — </w:t>
      </w:r>
      <w:r>
        <w:rPr>
          <w:color w:val="1B2A3A"/>
          <w:sz w:val="22"/>
          <w:szCs w:val="22"/>
        </w:rPr>
        <w:t xml:space="preserve">tableau de bord décisionnel (Dash) affichant les KPIs.</w:t>
      </w:r>
    </w:p>
    <w:p>
      <w:pPr>
        <w:spacing w:after="120"/>
      </w:pPr>
      <w:r>
        <w:rPr>
          <w:color w:val="1B2A3A"/>
          <w:sz w:val="22"/>
          <w:szCs w:val="22"/>
        </w:rPr>
        <w:t xml:space="preserve">Trois composants transversaux complètent l'ensemble : Airflow (orchestration du pipeline), le MLOps (MLflow, monitoring de dérive PSI, CI/CD) et la gouvernance (qualité, RGPD, sécurité).</w:t>
      </w:r>
    </w:p>
    <w:p>
      <w:pPr>
        <w:pStyle w:val="Heading1"/>
        <w:pBdr>
          <w:bottom w:val="single" w:color="FF7A00" w:sz="12" w:space="4"/>
        </w:pBdr>
        <w:spacing w:after="130" w:before="300"/>
        <w:outlineLvl w:val="0"/>
      </w:pPr>
      <w:r>
        <w:rPr>
          <w:b/>
          <w:bCs/>
          <w:color w:val="003B7A"/>
          <w:sz w:val="28"/>
          <w:szCs w:val="28"/>
        </w:rPr>
        <w:t xml:space="preserve">5. Jeu de données</w:t>
      </w:r>
    </w:p>
    <w:p>
      <w:pPr>
        <w:spacing w:after="120"/>
      </w:pPr>
      <w:r>
        <w:rPr>
          <w:color w:val="1B2A3A"/>
          <w:sz w:val="22"/>
          <w:szCs w:val="22"/>
        </w:rPr>
        <w:t xml:space="preserve">Le projet s'appuie exclusivement sur un jeu de données synthétique, généré par des scripts Python reproductibles (graine fixe = 42). Il simule 12 mois d'activité (juillet 2025 → juin 2026), en FCFA, et s'organise en 5 tables reliées selon un modèle en étoile.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3526"/>
      </w:tblGrid>
      <w:tr>
        <w:trPr>
          <w:tblHeader/>
        </w:trPr>
        <w:tc>
          <w:tcPr>
            <w:tcW w:type="dxa" w:w="3600"/>
            <w:shd w:fill="003B7A" w:color="auto" w:val="clear"/>
            <w:tcMar>
              <w:top w:type="dxa" w:w="55"/>
              <w:left w:type="dxa" w:w="100"/>
              <w:bottom w:type="dxa" w:w="55"/>
              <w:right w:type="dxa" w:w="100"/>
            </w:tcMar>
          </w:tcPr>
          <w:p>
            <w:pPr>
              <w:jc w:val="left"/>
            </w:pPr>
            <w:r>
              <w:rPr>
                <w:b/>
                <w:bCs/>
                <w:color w:val="FFFFFF"/>
                <w:sz w:val="19"/>
                <w:szCs w:val="19"/>
              </w:rPr>
              <w:t xml:space="preserve">Table</w:t>
            </w:r>
          </w:p>
        </w:tc>
        <w:tc>
          <w:tcPr>
            <w:tcW w:type="dxa" w:w="1900"/>
            <w:shd w:fill="003B7A" w:color="auto" w:val="clear"/>
            <w:tcMar>
              <w:top w:type="dxa" w:w="55"/>
              <w:left w:type="dxa" w:w="100"/>
              <w:bottom w:type="dxa" w:w="55"/>
              <w:right w:type="dxa" w:w="100"/>
            </w:tcMar>
          </w:tcPr>
          <w:p>
            <w:pPr>
              <w:jc w:val="center"/>
            </w:pPr>
            <w:r>
              <w:rPr>
                <w:b/>
                <w:bCs/>
                <w:color w:val="FFFFFF"/>
                <w:sz w:val="19"/>
                <w:szCs w:val="19"/>
              </w:rPr>
              <w:t xml:space="preserve">Lignes</w:t>
            </w:r>
          </w:p>
        </w:tc>
        <w:tc>
          <w:tcPr>
            <w:tcW w:type="dxa" w:w="3526"/>
            <w:shd w:fill="003B7A" w:color="auto" w:val="clear"/>
            <w:tcMar>
              <w:top w:type="dxa" w:w="55"/>
              <w:left w:type="dxa" w:w="100"/>
              <w:bottom w:type="dxa" w:w="55"/>
              <w:right w:type="dxa" w:w="100"/>
            </w:tcMar>
          </w:tcPr>
          <w:p>
            <w:pPr>
              <w:jc w:val="center"/>
            </w:pPr>
            <w:r>
              <w:rPr>
                <w:b/>
                <w:bCs/>
                <w:color w:val="FFFFFF"/>
                <w:sz w:val="19"/>
                <w:szCs w:val="19"/>
              </w:rPr>
              <w:t xml:space="preserve">Rôle</w:t>
            </w:r>
          </w:p>
        </w:tc>
      </w:tr>
      <w:tr>
        <w:tc>
          <w:tcPr>
            <w:tcW w:type="dxa" w:w="3600"/>
            <w:tcMar>
              <w:top w:type="dxa" w:w="55"/>
              <w:left w:type="dxa" w:w="100"/>
              <w:bottom w:type="dxa" w:w="55"/>
              <w:right w:type="dxa" w:w="100"/>
            </w:tcMar>
          </w:tcPr>
          <w:p>
            <w:pPr>
              <w:jc w:val="left"/>
            </w:pPr>
            <w:r>
              <w:rPr>
                <w:color w:val="1B2A3A"/>
                <w:sz w:val="19"/>
                <w:szCs w:val="19"/>
              </w:rPr>
              <w:t xml:space="preserve">TRANSACTIONS (faits)</w:t>
            </w:r>
          </w:p>
        </w:tc>
        <w:tc>
          <w:tcPr>
            <w:tcW w:type="dxa" w:w="1900"/>
            <w:tcMar>
              <w:top w:type="dxa" w:w="55"/>
              <w:left w:type="dxa" w:w="100"/>
              <w:bottom w:type="dxa" w:w="55"/>
              <w:right w:type="dxa" w:w="100"/>
            </w:tcMar>
          </w:tcPr>
          <w:p>
            <w:pPr>
              <w:jc w:val="center"/>
            </w:pPr>
            <w:r>
              <w:rPr>
                <w:color w:val="1B2A3A"/>
                <w:sz w:val="19"/>
                <w:szCs w:val="19"/>
              </w:rPr>
              <w:t xml:space="preserve">100 000</w:t>
            </w:r>
          </w:p>
        </w:tc>
        <w:tc>
          <w:tcPr>
            <w:tcW w:type="dxa" w:w="3526"/>
            <w:tcMar>
              <w:top w:type="dxa" w:w="55"/>
              <w:left w:type="dxa" w:w="100"/>
              <w:bottom w:type="dxa" w:w="55"/>
              <w:right w:type="dxa" w:w="100"/>
            </w:tcMar>
          </w:tcPr>
          <w:p>
            <w:pPr>
              <w:jc w:val="center"/>
            </w:pPr>
            <w:r>
              <w:rPr>
                <w:color w:val="1B2A3A"/>
                <w:sz w:val="19"/>
                <w:szCs w:val="19"/>
              </w:rPr>
              <w:t xml:space="preserve">Les ventes (cœur du jeu de données)</w:t>
            </w:r>
          </w:p>
        </w:tc>
      </w:tr>
      <w:tr>
        <w:tc>
          <w:tcPr>
            <w:tcW w:type="dxa" w:w="3600"/>
            <w:shd w:fill="F5F8FB" w:color="auto" w:val="clear"/>
            <w:tcMar>
              <w:top w:type="dxa" w:w="55"/>
              <w:left w:type="dxa" w:w="100"/>
              <w:bottom w:type="dxa" w:w="55"/>
              <w:right w:type="dxa" w:w="100"/>
            </w:tcMar>
          </w:tcPr>
          <w:p>
            <w:pPr>
              <w:jc w:val="left"/>
            </w:pPr>
            <w:r>
              <w:rPr>
                <w:color w:val="1B2A3A"/>
                <w:sz w:val="19"/>
                <w:szCs w:val="19"/>
              </w:rPr>
              <w:t xml:space="preserve">CLIENTS (dimension)</w:t>
            </w:r>
          </w:p>
        </w:tc>
        <w:tc>
          <w:tcPr>
            <w:tcW w:type="dxa" w:w="1900"/>
            <w:shd w:fill="F5F8FB" w:color="auto" w:val="clear"/>
            <w:tcMar>
              <w:top w:type="dxa" w:w="55"/>
              <w:left w:type="dxa" w:w="100"/>
              <w:bottom w:type="dxa" w:w="55"/>
              <w:right w:type="dxa" w:w="100"/>
            </w:tcMar>
          </w:tcPr>
          <w:p>
            <w:pPr>
              <w:jc w:val="center"/>
            </w:pPr>
            <w:r>
              <w:rPr>
                <w:color w:val="1B2A3A"/>
                <w:sz w:val="19"/>
                <w:szCs w:val="19"/>
              </w:rPr>
              <w:t xml:space="preserve">10 000</w:t>
            </w:r>
          </w:p>
        </w:tc>
        <w:tc>
          <w:tcPr>
            <w:tcW w:type="dxa" w:w="3526"/>
            <w:shd w:fill="F5F8FB" w:color="auto" w:val="clear"/>
            <w:tcMar>
              <w:top w:type="dxa" w:w="55"/>
              <w:left w:type="dxa" w:w="100"/>
              <w:bottom w:type="dxa" w:w="55"/>
              <w:right w:type="dxa" w:w="100"/>
            </w:tcMar>
          </w:tcPr>
          <w:p>
            <w:pPr>
              <w:jc w:val="center"/>
            </w:pPr>
            <w:r>
              <w:rPr>
                <w:color w:val="1B2A3A"/>
                <w:sz w:val="19"/>
                <w:szCs w:val="19"/>
              </w:rPr>
              <w:t xml:space="preserve">Profils, villes, segments</w:t>
            </w:r>
          </w:p>
        </w:tc>
      </w:tr>
      <w:tr>
        <w:tc>
          <w:tcPr>
            <w:tcW w:type="dxa" w:w="3600"/>
            <w:tcMar>
              <w:top w:type="dxa" w:w="55"/>
              <w:left w:type="dxa" w:w="100"/>
              <w:bottom w:type="dxa" w:w="55"/>
              <w:right w:type="dxa" w:w="100"/>
            </w:tcMar>
          </w:tcPr>
          <w:p>
            <w:pPr>
              <w:jc w:val="left"/>
            </w:pPr>
            <w:r>
              <w:rPr>
                <w:color w:val="1B2A3A"/>
                <w:sz w:val="19"/>
                <w:szCs w:val="19"/>
              </w:rPr>
              <w:t xml:space="preserve">PRODUITS (dimension)</w:t>
            </w:r>
          </w:p>
        </w:tc>
        <w:tc>
          <w:tcPr>
            <w:tcW w:type="dxa" w:w="1900"/>
            <w:tcMar>
              <w:top w:type="dxa" w:w="55"/>
              <w:left w:type="dxa" w:w="100"/>
              <w:bottom w:type="dxa" w:w="55"/>
              <w:right w:type="dxa" w:w="100"/>
            </w:tcMar>
          </w:tcPr>
          <w:p>
            <w:pPr>
              <w:jc w:val="center"/>
            </w:pPr>
            <w:r>
              <w:rPr>
                <w:color w:val="1B2A3A"/>
                <w:sz w:val="19"/>
                <w:szCs w:val="19"/>
              </w:rPr>
              <w:t xml:space="preserve">500</w:t>
            </w:r>
          </w:p>
        </w:tc>
        <w:tc>
          <w:tcPr>
            <w:tcW w:type="dxa" w:w="3526"/>
            <w:tcMar>
              <w:top w:type="dxa" w:w="55"/>
              <w:left w:type="dxa" w:w="100"/>
              <w:bottom w:type="dxa" w:w="55"/>
              <w:right w:type="dxa" w:w="100"/>
            </w:tcMar>
          </w:tcPr>
          <w:p>
            <w:pPr>
              <w:jc w:val="center"/>
            </w:pPr>
            <w:r>
              <w:rPr>
                <w:color w:val="1B2A3A"/>
                <w:sz w:val="19"/>
                <w:szCs w:val="19"/>
              </w:rPr>
              <w:t xml:space="preserve">Catalogue, 7 catégories, prix, coût, stock</w:t>
            </w:r>
          </w:p>
        </w:tc>
      </w:tr>
      <w:tr>
        <w:tc>
          <w:tcPr>
            <w:tcW w:type="dxa" w:w="3600"/>
            <w:shd w:fill="F5F8FB" w:color="auto" w:val="clear"/>
            <w:tcMar>
              <w:top w:type="dxa" w:w="55"/>
              <w:left w:type="dxa" w:w="100"/>
              <w:bottom w:type="dxa" w:w="55"/>
              <w:right w:type="dxa" w:w="100"/>
            </w:tcMar>
          </w:tcPr>
          <w:p>
            <w:pPr>
              <w:jc w:val="left"/>
            </w:pPr>
            <w:r>
              <w:rPr>
                <w:color w:val="1B2A3A"/>
                <w:sz w:val="19"/>
                <w:szCs w:val="19"/>
              </w:rPr>
              <w:t xml:space="preserve">PROMOTIONS (dimension)</w:t>
            </w:r>
          </w:p>
        </w:tc>
        <w:tc>
          <w:tcPr>
            <w:tcW w:type="dxa" w:w="1900"/>
            <w:shd w:fill="F5F8FB" w:color="auto" w:val="clear"/>
            <w:tcMar>
              <w:top w:type="dxa" w:w="55"/>
              <w:left w:type="dxa" w:w="100"/>
              <w:bottom w:type="dxa" w:w="55"/>
              <w:right w:type="dxa" w:w="100"/>
            </w:tcMar>
          </w:tcPr>
          <w:p>
            <w:pPr>
              <w:jc w:val="center"/>
            </w:pPr>
            <w:r>
              <w:rPr>
                <w:color w:val="1B2A3A"/>
                <w:sz w:val="19"/>
                <w:szCs w:val="19"/>
              </w:rPr>
              <w:t xml:space="preserve">10</w:t>
            </w:r>
          </w:p>
        </w:tc>
        <w:tc>
          <w:tcPr>
            <w:tcW w:type="dxa" w:w="3526"/>
            <w:shd w:fill="F5F8FB" w:color="auto" w:val="clear"/>
            <w:tcMar>
              <w:top w:type="dxa" w:w="55"/>
              <w:left w:type="dxa" w:w="100"/>
              <w:bottom w:type="dxa" w:w="55"/>
              <w:right w:type="dxa" w:w="100"/>
            </w:tcMar>
          </w:tcPr>
          <w:p>
            <w:pPr>
              <w:jc w:val="center"/>
            </w:pPr>
            <w:r>
              <w:rPr>
                <w:color w:val="1B2A3A"/>
                <w:sz w:val="19"/>
                <w:szCs w:val="19"/>
              </w:rPr>
              <w:t xml:space="preserve">Campagnes (dont 1 ligne « aucune promo »)</w:t>
            </w:r>
          </w:p>
        </w:tc>
      </w:tr>
      <w:tr>
        <w:tc>
          <w:tcPr>
            <w:tcW w:type="dxa" w:w="3600"/>
            <w:tcMar>
              <w:top w:type="dxa" w:w="55"/>
              <w:left w:type="dxa" w:w="100"/>
              <w:bottom w:type="dxa" w:w="55"/>
              <w:right w:type="dxa" w:w="100"/>
            </w:tcMar>
          </w:tcPr>
          <w:p>
            <w:pPr>
              <w:jc w:val="left"/>
            </w:pPr>
            <w:r>
              <w:rPr>
                <w:color w:val="1B2A3A"/>
                <w:sz w:val="19"/>
                <w:szCs w:val="19"/>
              </w:rPr>
              <w:t xml:space="preserve">NAVIGATION (événements)</w:t>
            </w:r>
          </w:p>
        </w:tc>
        <w:tc>
          <w:tcPr>
            <w:tcW w:type="dxa" w:w="1900"/>
            <w:tcMar>
              <w:top w:type="dxa" w:w="55"/>
              <w:left w:type="dxa" w:w="100"/>
              <w:bottom w:type="dxa" w:w="55"/>
              <w:right w:type="dxa" w:w="100"/>
            </w:tcMar>
          </w:tcPr>
          <w:p>
            <w:pPr>
              <w:jc w:val="center"/>
            </w:pPr>
            <w:r>
              <w:rPr>
                <w:color w:val="1B2A3A"/>
                <w:sz w:val="19"/>
                <w:szCs w:val="19"/>
              </w:rPr>
              <w:t xml:space="preserve">1 000 000</w:t>
            </w:r>
          </w:p>
        </w:tc>
        <w:tc>
          <w:tcPr>
            <w:tcW w:type="dxa" w:w="3526"/>
            <w:tcMar>
              <w:top w:type="dxa" w:w="55"/>
              <w:left w:type="dxa" w:w="100"/>
              <w:bottom w:type="dxa" w:w="55"/>
              <w:right w:type="dxa" w:w="100"/>
            </w:tcMar>
          </w:tcPr>
          <w:p>
            <w:pPr>
              <w:jc w:val="center"/>
            </w:pPr>
            <w:r>
              <w:rPr>
                <w:color w:val="1B2A3A"/>
                <w:sz w:val="19"/>
                <w:szCs w:val="19"/>
              </w:rPr>
              <w:t xml:space="preserve">Logs web : vues, clics, ajouts panier</w:t>
            </w:r>
          </w:p>
        </w:tc>
      </w:tr>
    </w:tbl>
    <w:p>
      <w:pPr>
        <w:spacing w:after="60"/>
      </w:pPr>
    </w:p>
    <w:p>
      <w:pPr>
        <w:spacing w:after="120"/>
      </w:pPr>
      <w:r>
        <w:rPr>
          <w:i/>
          <w:iCs/>
          <w:color w:val="1B2A3A"/>
          <w:sz w:val="22"/>
          <w:szCs w:val="22"/>
        </w:rPr>
        <w:t xml:space="preserve">La qualité des données est contrôlée (intégrité référentielle, cohérence temporelle : aucune vente avant l'inscription du client) : 21 contrôles sur 21 passés.</w:t>
      </w:r>
    </w:p>
    <w:p>
      <w:pPr>
        <w:pStyle w:val="Heading1"/>
        <w:pBdr>
          <w:bottom w:val="single" w:color="FF7A00" w:sz="12" w:space="4"/>
        </w:pBdr>
        <w:spacing w:after="130" w:before="300"/>
        <w:outlineLvl w:val="0"/>
      </w:pPr>
      <w:r>
        <w:rPr>
          <w:b/>
          <w:bCs/>
          <w:color w:val="003B7A"/>
          <w:sz w:val="28"/>
          <w:szCs w:val="28"/>
        </w:rPr>
        <w:t xml:space="preserve">6. Résultats des modèles</w:t>
      </w:r>
    </w:p>
    <w:p>
      <w:pPr>
        <w:spacing w:after="120"/>
      </w:pPr>
      <w:r>
        <w:rPr>
          <w:color w:val="1B2A3A"/>
          <w:sz w:val="22"/>
          <w:szCs w:val="22"/>
        </w:rPr>
        <w:t xml:space="preserve">Chaque modèle est évalué face à une baseline de comparaison, sur un découpage temporel (les 30 derniers jours en test).</w:t>
      </w:r>
    </w:p>
    <w:p>
      <w:pPr>
        <w:pStyle w:val="Heading2"/>
        <w:spacing w:after="70" w:before="180"/>
        <w:outlineLvl w:val="1"/>
      </w:pPr>
      <w:r>
        <w:rPr>
          <w:b/>
          <w:bCs/>
          <w:color w:val="FF7A00"/>
          <w:sz w:val="23"/>
          <w:szCs w:val="23"/>
        </w:rPr>
        <w:t xml:space="preserve">6.1 Prévision de la demande (Prophet)</w:t>
      </w:r>
    </w:p>
    <w:p>
      <w:pPr>
        <w:spacing w:after="120"/>
      </w:pPr>
      <w:r>
        <w:rPr>
          <w:color w:val="1B2A3A"/>
          <w:sz w:val="22"/>
          <w:szCs w:val="22"/>
        </w:rPr>
        <w:t xml:space="preserve">Prévision de la demande quotidienne par catégorie. Comparaison : baseline naïve (moyenne 7 jours) vs Prophet vs Prophet enrichi de l'effet promotions. Erreur mesurée en MAE (unités/jour)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1466"/>
        <w:gridCol w:w="1467"/>
        <w:gridCol w:w="1467"/>
      </w:tblGrid>
      <w:tr>
        <w:trPr>
          <w:tblHeader/>
        </w:trPr>
        <w:tc>
          <w:tcPr>
            <w:tcW w:type="dxa" w:w="4626"/>
            <w:shd w:fill="003B7A" w:color="auto" w:val="clear"/>
            <w:tcMar>
              <w:top w:type="dxa" w:w="55"/>
              <w:left w:type="dxa" w:w="100"/>
              <w:bottom w:type="dxa" w:w="55"/>
              <w:right w:type="dxa" w:w="100"/>
            </w:tcMar>
          </w:tcPr>
          <w:p>
            <w:pPr>
              <w:jc w:val="left"/>
            </w:pPr>
            <w:r>
              <w:rPr>
                <w:b/>
                <w:bCs/>
                <w:color w:val="FFFFFF"/>
                <w:sz w:val="19"/>
                <w:szCs w:val="19"/>
              </w:rPr>
              <w:t xml:space="preserve">Catégorie</w:t>
            </w:r>
          </w:p>
        </w:tc>
        <w:tc>
          <w:tcPr>
            <w:tcW w:type="dxa" w:w="1466"/>
            <w:shd w:fill="003B7A" w:color="auto" w:val="clear"/>
            <w:tcMar>
              <w:top w:type="dxa" w:w="55"/>
              <w:left w:type="dxa" w:w="100"/>
              <w:bottom w:type="dxa" w:w="55"/>
              <w:right w:type="dxa" w:w="100"/>
            </w:tcMar>
          </w:tcPr>
          <w:p>
            <w:pPr>
              <w:jc w:val="center"/>
            </w:pPr>
            <w:r>
              <w:rPr>
                <w:b/>
                <w:bCs/>
                <w:color w:val="FFFFFF"/>
                <w:sz w:val="19"/>
                <w:szCs w:val="19"/>
              </w:rPr>
              <w:t xml:space="preserve">Baseline naïf</w:t>
            </w:r>
          </w:p>
        </w:tc>
        <w:tc>
          <w:tcPr>
            <w:tcW w:type="dxa" w:w="1467"/>
            <w:shd w:fill="003B7A" w:color="auto" w:val="clear"/>
            <w:tcMar>
              <w:top w:type="dxa" w:w="55"/>
              <w:left w:type="dxa" w:w="100"/>
              <w:bottom w:type="dxa" w:w="55"/>
              <w:right w:type="dxa" w:w="100"/>
            </w:tcMar>
          </w:tcPr>
          <w:p>
            <w:pPr>
              <w:jc w:val="center"/>
            </w:pPr>
            <w:r>
              <w:rPr>
                <w:b/>
                <w:bCs/>
                <w:color w:val="FFFFFF"/>
                <w:sz w:val="19"/>
                <w:szCs w:val="19"/>
              </w:rPr>
              <w:t xml:space="preserve">Prophet</w:t>
            </w:r>
          </w:p>
        </w:tc>
        <w:tc>
          <w:tcPr>
            <w:tcW w:type="dxa" w:w="1467"/>
            <w:shd w:fill="003B7A" w:color="auto" w:val="clear"/>
            <w:tcMar>
              <w:top w:type="dxa" w:w="55"/>
              <w:left w:type="dxa" w:w="100"/>
              <w:bottom w:type="dxa" w:w="55"/>
              <w:right w:type="dxa" w:w="100"/>
            </w:tcMar>
          </w:tcPr>
          <w:p>
            <w:pPr>
              <w:jc w:val="center"/>
            </w:pPr>
            <w:r>
              <w:rPr>
                <w:b/>
                <w:bCs/>
                <w:color w:val="FFFFFF"/>
                <w:sz w:val="19"/>
                <w:szCs w:val="19"/>
              </w:rPr>
              <w:t xml:space="preserve">Prophet + promo</w:t>
            </w:r>
          </w:p>
        </w:tc>
      </w:tr>
      <w:tr>
        <w:tc>
          <w:tcPr>
            <w:tcW w:type="dxa" w:w="4626"/>
            <w:tcMar>
              <w:top w:type="dxa" w:w="55"/>
              <w:left w:type="dxa" w:w="100"/>
              <w:bottom w:type="dxa" w:w="55"/>
              <w:right w:type="dxa" w:w="100"/>
            </w:tcMar>
          </w:tcPr>
          <w:p>
            <w:pPr>
              <w:jc w:val="left"/>
            </w:pPr>
            <w:r>
              <w:rPr>
                <w:color w:val="1B2A3A"/>
                <w:sz w:val="19"/>
                <w:szCs w:val="19"/>
              </w:rPr>
              <w:t xml:space="preserve">Accessoires</w:t>
            </w:r>
          </w:p>
        </w:tc>
        <w:tc>
          <w:tcPr>
            <w:tcW w:type="dxa" w:w="1466"/>
            <w:tcMar>
              <w:top w:type="dxa" w:w="55"/>
              <w:left w:type="dxa" w:w="100"/>
              <w:bottom w:type="dxa" w:w="55"/>
              <w:right w:type="dxa" w:w="100"/>
            </w:tcMar>
          </w:tcPr>
          <w:p>
            <w:pPr>
              <w:jc w:val="center"/>
            </w:pPr>
            <w:r>
              <w:rPr>
                <w:color w:val="1B2A3A"/>
                <w:sz w:val="19"/>
                <w:szCs w:val="19"/>
              </w:rPr>
              <w:t xml:space="preserve">137,4</w:t>
            </w:r>
          </w:p>
        </w:tc>
        <w:tc>
          <w:tcPr>
            <w:tcW w:type="dxa" w:w="1467"/>
            <w:tcMar>
              <w:top w:type="dxa" w:w="55"/>
              <w:left w:type="dxa" w:w="100"/>
              <w:bottom w:type="dxa" w:w="55"/>
              <w:right w:type="dxa" w:w="100"/>
            </w:tcMar>
          </w:tcPr>
          <w:p>
            <w:pPr>
              <w:jc w:val="center"/>
            </w:pPr>
            <w:r>
              <w:rPr>
                <w:color w:val="1B2A3A"/>
                <w:sz w:val="19"/>
                <w:szCs w:val="19"/>
              </w:rPr>
              <w:t xml:space="preserve">91,0</w:t>
            </w:r>
          </w:p>
        </w:tc>
        <w:tc>
          <w:tcPr>
            <w:tcW w:type="dxa" w:w="1467"/>
            <w:tcMar>
              <w:top w:type="dxa" w:w="55"/>
              <w:left w:type="dxa" w:w="100"/>
              <w:bottom w:type="dxa" w:w="55"/>
              <w:right w:type="dxa" w:w="100"/>
            </w:tcMar>
          </w:tcPr>
          <w:p>
            <w:pPr>
              <w:jc w:val="center"/>
            </w:pPr>
            <w:r>
              <w:rPr>
                <w:color w:val="1B2A3A"/>
                <w:sz w:val="19"/>
                <w:szCs w:val="19"/>
              </w:rPr>
              <w:t xml:space="preserve">83,7</w:t>
            </w:r>
          </w:p>
        </w:tc>
      </w:tr>
      <w:tr>
        <w:tc>
          <w:tcPr>
            <w:tcW w:type="dxa" w:w="4626"/>
            <w:shd w:fill="F5F8FB" w:color="auto" w:val="clear"/>
            <w:tcMar>
              <w:top w:type="dxa" w:w="55"/>
              <w:left w:type="dxa" w:w="100"/>
              <w:bottom w:type="dxa" w:w="55"/>
              <w:right w:type="dxa" w:w="100"/>
            </w:tcMar>
          </w:tcPr>
          <w:p>
            <w:pPr>
              <w:jc w:val="left"/>
            </w:pPr>
            <w:r>
              <w:rPr>
                <w:color w:val="1B2A3A"/>
                <w:sz w:val="19"/>
                <w:szCs w:val="19"/>
              </w:rPr>
              <w:t xml:space="preserve">Audio</w:t>
            </w:r>
          </w:p>
        </w:tc>
        <w:tc>
          <w:tcPr>
            <w:tcW w:type="dxa" w:w="1466"/>
            <w:shd w:fill="F5F8FB" w:color="auto" w:val="clear"/>
            <w:tcMar>
              <w:top w:type="dxa" w:w="55"/>
              <w:left w:type="dxa" w:w="100"/>
              <w:bottom w:type="dxa" w:w="55"/>
              <w:right w:type="dxa" w:w="100"/>
            </w:tcMar>
          </w:tcPr>
          <w:p>
            <w:pPr>
              <w:jc w:val="center"/>
            </w:pPr>
            <w:r>
              <w:rPr>
                <w:color w:val="1B2A3A"/>
                <w:sz w:val="19"/>
                <w:szCs w:val="19"/>
              </w:rPr>
              <w:t xml:space="preserve">79,4</w:t>
            </w:r>
          </w:p>
        </w:tc>
        <w:tc>
          <w:tcPr>
            <w:tcW w:type="dxa" w:w="1467"/>
            <w:shd w:fill="F5F8FB" w:color="auto" w:val="clear"/>
            <w:tcMar>
              <w:top w:type="dxa" w:w="55"/>
              <w:left w:type="dxa" w:w="100"/>
              <w:bottom w:type="dxa" w:w="55"/>
              <w:right w:type="dxa" w:w="100"/>
            </w:tcMar>
          </w:tcPr>
          <w:p>
            <w:pPr>
              <w:jc w:val="center"/>
            </w:pPr>
            <w:r>
              <w:rPr>
                <w:color w:val="1B2A3A"/>
                <w:sz w:val="19"/>
                <w:szCs w:val="19"/>
              </w:rPr>
              <w:t xml:space="preserve">51,4</w:t>
            </w:r>
          </w:p>
        </w:tc>
        <w:tc>
          <w:tcPr>
            <w:tcW w:type="dxa" w:w="1467"/>
            <w:shd w:fill="F5F8FB" w:color="auto" w:val="clear"/>
            <w:tcMar>
              <w:top w:type="dxa" w:w="55"/>
              <w:left w:type="dxa" w:w="100"/>
              <w:bottom w:type="dxa" w:w="55"/>
              <w:right w:type="dxa" w:w="100"/>
            </w:tcMar>
          </w:tcPr>
          <w:p>
            <w:pPr>
              <w:jc w:val="center"/>
            </w:pPr>
            <w:r>
              <w:rPr>
                <w:color w:val="1B2A3A"/>
                <w:sz w:val="19"/>
                <w:szCs w:val="19"/>
              </w:rPr>
              <w:t xml:space="preserve">44,3</w:t>
            </w:r>
          </w:p>
        </w:tc>
      </w:tr>
      <w:tr>
        <w:tc>
          <w:tcPr>
            <w:tcW w:type="dxa" w:w="4626"/>
            <w:tcMar>
              <w:top w:type="dxa" w:w="55"/>
              <w:left w:type="dxa" w:w="100"/>
              <w:bottom w:type="dxa" w:w="55"/>
              <w:right w:type="dxa" w:w="100"/>
            </w:tcMar>
          </w:tcPr>
          <w:p>
            <w:pPr>
              <w:jc w:val="left"/>
            </w:pPr>
            <w:r>
              <w:rPr>
                <w:color w:val="1B2A3A"/>
                <w:sz w:val="19"/>
                <w:szCs w:val="19"/>
              </w:rPr>
              <w:t xml:space="preserve">Gaming</w:t>
            </w:r>
          </w:p>
        </w:tc>
        <w:tc>
          <w:tcPr>
            <w:tcW w:type="dxa" w:w="1466"/>
            <w:tcMar>
              <w:top w:type="dxa" w:w="55"/>
              <w:left w:type="dxa" w:w="100"/>
              <w:bottom w:type="dxa" w:w="55"/>
              <w:right w:type="dxa" w:w="100"/>
            </w:tcMar>
          </w:tcPr>
          <w:p>
            <w:pPr>
              <w:jc w:val="center"/>
            </w:pPr>
            <w:r>
              <w:rPr>
                <w:color w:val="1B2A3A"/>
                <w:sz w:val="19"/>
                <w:szCs w:val="19"/>
              </w:rPr>
              <w:t xml:space="preserve">31,7</w:t>
            </w:r>
          </w:p>
        </w:tc>
        <w:tc>
          <w:tcPr>
            <w:tcW w:type="dxa" w:w="1467"/>
            <w:tcMar>
              <w:top w:type="dxa" w:w="55"/>
              <w:left w:type="dxa" w:w="100"/>
              <w:bottom w:type="dxa" w:w="55"/>
              <w:right w:type="dxa" w:w="100"/>
            </w:tcMar>
          </w:tcPr>
          <w:p>
            <w:pPr>
              <w:jc w:val="center"/>
            </w:pPr>
            <w:r>
              <w:rPr>
                <w:color w:val="1B2A3A"/>
                <w:sz w:val="19"/>
                <w:szCs w:val="19"/>
              </w:rPr>
              <w:t xml:space="preserve">22,0</w:t>
            </w:r>
          </w:p>
        </w:tc>
        <w:tc>
          <w:tcPr>
            <w:tcW w:type="dxa" w:w="1467"/>
            <w:tcMar>
              <w:top w:type="dxa" w:w="55"/>
              <w:left w:type="dxa" w:w="100"/>
              <w:bottom w:type="dxa" w:w="55"/>
              <w:right w:type="dxa" w:w="100"/>
            </w:tcMar>
          </w:tcPr>
          <w:p>
            <w:pPr>
              <w:jc w:val="center"/>
            </w:pPr>
            <w:r>
              <w:rPr>
                <w:color w:val="1B2A3A"/>
                <w:sz w:val="19"/>
                <w:szCs w:val="19"/>
              </w:rPr>
              <w:t xml:space="preserve">15,6</w:t>
            </w:r>
          </w:p>
        </w:tc>
      </w:tr>
      <w:tr>
        <w:tc>
          <w:tcPr>
            <w:tcW w:type="dxa" w:w="4626"/>
            <w:shd w:fill="F5F8FB" w:color="auto" w:val="clear"/>
            <w:tcMar>
              <w:top w:type="dxa" w:w="55"/>
              <w:left w:type="dxa" w:w="100"/>
              <w:bottom w:type="dxa" w:w="55"/>
              <w:right w:type="dxa" w:w="100"/>
            </w:tcMar>
          </w:tcPr>
          <w:p>
            <w:pPr>
              <w:jc w:val="left"/>
            </w:pPr>
            <w:r>
              <w:rPr>
                <w:color w:val="1B2A3A"/>
                <w:sz w:val="19"/>
                <w:szCs w:val="19"/>
              </w:rPr>
              <w:t xml:space="preserve">Objets connectés</w:t>
            </w:r>
          </w:p>
        </w:tc>
        <w:tc>
          <w:tcPr>
            <w:tcW w:type="dxa" w:w="1466"/>
            <w:shd w:fill="F5F8FB" w:color="auto" w:val="clear"/>
            <w:tcMar>
              <w:top w:type="dxa" w:w="55"/>
              <w:left w:type="dxa" w:w="100"/>
              <w:bottom w:type="dxa" w:w="55"/>
              <w:right w:type="dxa" w:w="100"/>
            </w:tcMar>
          </w:tcPr>
          <w:p>
            <w:pPr>
              <w:jc w:val="center"/>
            </w:pPr>
            <w:r>
              <w:rPr>
                <w:color w:val="1B2A3A"/>
                <w:sz w:val="19"/>
                <w:szCs w:val="19"/>
              </w:rPr>
              <w:t xml:space="preserve">32,9</w:t>
            </w:r>
          </w:p>
        </w:tc>
        <w:tc>
          <w:tcPr>
            <w:tcW w:type="dxa" w:w="1467"/>
            <w:shd w:fill="F5F8FB" w:color="auto" w:val="clear"/>
            <w:tcMar>
              <w:top w:type="dxa" w:w="55"/>
              <w:left w:type="dxa" w:w="100"/>
              <w:bottom w:type="dxa" w:w="55"/>
              <w:right w:type="dxa" w:w="100"/>
            </w:tcMar>
          </w:tcPr>
          <w:p>
            <w:pPr>
              <w:jc w:val="center"/>
            </w:pPr>
            <w:r>
              <w:rPr>
                <w:color w:val="1B2A3A"/>
                <w:sz w:val="19"/>
                <w:szCs w:val="19"/>
              </w:rPr>
              <w:t xml:space="preserve">23,0</w:t>
            </w:r>
          </w:p>
        </w:tc>
        <w:tc>
          <w:tcPr>
            <w:tcW w:type="dxa" w:w="1467"/>
            <w:shd w:fill="F5F8FB" w:color="auto" w:val="clear"/>
            <w:tcMar>
              <w:top w:type="dxa" w:w="55"/>
              <w:left w:type="dxa" w:w="100"/>
              <w:bottom w:type="dxa" w:w="55"/>
              <w:right w:type="dxa" w:w="100"/>
            </w:tcMar>
          </w:tcPr>
          <w:p>
            <w:pPr>
              <w:jc w:val="center"/>
            </w:pPr>
            <w:r>
              <w:rPr>
                <w:color w:val="1B2A3A"/>
                <w:sz w:val="19"/>
                <w:szCs w:val="19"/>
              </w:rPr>
              <w:t xml:space="preserve">17,6</w:t>
            </w:r>
          </w:p>
        </w:tc>
      </w:tr>
      <w:tr>
        <w:tc>
          <w:tcPr>
            <w:tcW w:type="dxa" w:w="4626"/>
            <w:tcMar>
              <w:top w:type="dxa" w:w="55"/>
              <w:left w:type="dxa" w:w="100"/>
              <w:bottom w:type="dxa" w:w="55"/>
              <w:right w:type="dxa" w:w="100"/>
            </w:tcMar>
          </w:tcPr>
          <w:p>
            <w:pPr>
              <w:jc w:val="left"/>
            </w:pPr>
            <w:r>
              <w:rPr>
                <w:color w:val="1B2A3A"/>
                <w:sz w:val="19"/>
                <w:szCs w:val="19"/>
              </w:rPr>
              <w:t xml:space="preserve">Ordinateurs</w:t>
            </w:r>
          </w:p>
        </w:tc>
        <w:tc>
          <w:tcPr>
            <w:tcW w:type="dxa" w:w="1466"/>
            <w:tcMar>
              <w:top w:type="dxa" w:w="55"/>
              <w:left w:type="dxa" w:w="100"/>
              <w:bottom w:type="dxa" w:w="55"/>
              <w:right w:type="dxa" w:w="100"/>
            </w:tcMar>
          </w:tcPr>
          <w:p>
            <w:pPr>
              <w:jc w:val="center"/>
            </w:pPr>
            <w:r>
              <w:rPr>
                <w:color w:val="1B2A3A"/>
                <w:sz w:val="19"/>
                <w:szCs w:val="19"/>
              </w:rPr>
              <w:t xml:space="preserve">32,3</w:t>
            </w:r>
          </w:p>
        </w:tc>
        <w:tc>
          <w:tcPr>
            <w:tcW w:type="dxa" w:w="1467"/>
            <w:tcMar>
              <w:top w:type="dxa" w:w="55"/>
              <w:left w:type="dxa" w:w="100"/>
              <w:bottom w:type="dxa" w:w="55"/>
              <w:right w:type="dxa" w:w="100"/>
            </w:tcMar>
          </w:tcPr>
          <w:p>
            <w:pPr>
              <w:jc w:val="center"/>
            </w:pPr>
            <w:r>
              <w:rPr>
                <w:color w:val="1B2A3A"/>
                <w:sz w:val="19"/>
                <w:szCs w:val="19"/>
              </w:rPr>
              <w:t xml:space="preserve">19,1</w:t>
            </w:r>
          </w:p>
        </w:tc>
        <w:tc>
          <w:tcPr>
            <w:tcW w:type="dxa" w:w="1467"/>
            <w:tcMar>
              <w:top w:type="dxa" w:w="55"/>
              <w:left w:type="dxa" w:w="100"/>
              <w:bottom w:type="dxa" w:w="55"/>
              <w:right w:type="dxa" w:w="100"/>
            </w:tcMar>
          </w:tcPr>
          <w:p>
            <w:pPr>
              <w:jc w:val="center"/>
            </w:pPr>
            <w:r>
              <w:rPr>
                <w:color w:val="1B2A3A"/>
                <w:sz w:val="19"/>
                <w:szCs w:val="19"/>
              </w:rPr>
              <w:t xml:space="preserve">14,9</w:t>
            </w:r>
          </w:p>
        </w:tc>
      </w:tr>
      <w:tr>
        <w:tc>
          <w:tcPr>
            <w:tcW w:type="dxa" w:w="4626"/>
            <w:shd w:fill="F5F8FB" w:color="auto" w:val="clear"/>
            <w:tcMar>
              <w:top w:type="dxa" w:w="55"/>
              <w:left w:type="dxa" w:w="100"/>
              <w:bottom w:type="dxa" w:w="55"/>
              <w:right w:type="dxa" w:w="100"/>
            </w:tcMar>
          </w:tcPr>
          <w:p>
            <w:pPr>
              <w:jc w:val="left"/>
            </w:pPr>
            <w:r>
              <w:rPr>
                <w:color w:val="1B2A3A"/>
                <w:sz w:val="19"/>
                <w:szCs w:val="19"/>
              </w:rPr>
              <w:t xml:space="preserve">Smartphones &amp; tablettes</w:t>
            </w:r>
          </w:p>
        </w:tc>
        <w:tc>
          <w:tcPr>
            <w:tcW w:type="dxa" w:w="1466"/>
            <w:shd w:fill="F5F8FB" w:color="auto" w:val="clear"/>
            <w:tcMar>
              <w:top w:type="dxa" w:w="55"/>
              <w:left w:type="dxa" w:w="100"/>
              <w:bottom w:type="dxa" w:w="55"/>
              <w:right w:type="dxa" w:w="100"/>
            </w:tcMar>
          </w:tcPr>
          <w:p>
            <w:pPr>
              <w:jc w:val="center"/>
            </w:pPr>
            <w:r>
              <w:rPr>
                <w:color w:val="1B2A3A"/>
                <w:sz w:val="19"/>
                <w:szCs w:val="19"/>
              </w:rPr>
              <w:t xml:space="preserve">118,0</w:t>
            </w:r>
          </w:p>
        </w:tc>
        <w:tc>
          <w:tcPr>
            <w:tcW w:type="dxa" w:w="1467"/>
            <w:shd w:fill="F5F8FB" w:color="auto" w:val="clear"/>
            <w:tcMar>
              <w:top w:type="dxa" w:w="55"/>
              <w:left w:type="dxa" w:w="100"/>
              <w:bottom w:type="dxa" w:w="55"/>
              <w:right w:type="dxa" w:w="100"/>
            </w:tcMar>
          </w:tcPr>
          <w:p>
            <w:pPr>
              <w:jc w:val="center"/>
            </w:pPr>
            <w:r>
              <w:rPr>
                <w:color w:val="1B2A3A"/>
                <w:sz w:val="19"/>
                <w:szCs w:val="19"/>
              </w:rPr>
              <w:t xml:space="preserve">80,2</w:t>
            </w:r>
          </w:p>
        </w:tc>
        <w:tc>
          <w:tcPr>
            <w:tcW w:type="dxa" w:w="1467"/>
            <w:shd w:fill="F5F8FB" w:color="auto" w:val="clear"/>
            <w:tcMar>
              <w:top w:type="dxa" w:w="55"/>
              <w:left w:type="dxa" w:w="100"/>
              <w:bottom w:type="dxa" w:w="55"/>
              <w:right w:type="dxa" w:w="100"/>
            </w:tcMar>
          </w:tcPr>
          <w:p>
            <w:pPr>
              <w:jc w:val="center"/>
            </w:pPr>
            <w:r>
              <w:rPr>
                <w:color w:val="1B2A3A"/>
                <w:sz w:val="19"/>
                <w:szCs w:val="19"/>
              </w:rPr>
              <w:t xml:space="preserve">68,4</w:t>
            </w:r>
          </w:p>
        </w:tc>
      </w:tr>
      <w:tr>
        <w:tc>
          <w:tcPr>
            <w:tcW w:type="dxa" w:w="4626"/>
            <w:tcMar>
              <w:top w:type="dxa" w:w="55"/>
              <w:left w:type="dxa" w:w="100"/>
              <w:bottom w:type="dxa" w:w="55"/>
              <w:right w:type="dxa" w:w="100"/>
            </w:tcMar>
          </w:tcPr>
          <w:p>
            <w:pPr>
              <w:jc w:val="left"/>
            </w:pPr>
            <w:r>
              <w:rPr>
                <w:color w:val="1B2A3A"/>
                <w:sz w:val="19"/>
                <w:szCs w:val="19"/>
              </w:rPr>
              <w:t xml:space="preserve">TV &amp; image</w:t>
            </w:r>
          </w:p>
        </w:tc>
        <w:tc>
          <w:tcPr>
            <w:tcW w:type="dxa" w:w="1466"/>
            <w:tcMar>
              <w:top w:type="dxa" w:w="55"/>
              <w:left w:type="dxa" w:w="100"/>
              <w:bottom w:type="dxa" w:w="55"/>
              <w:right w:type="dxa" w:w="100"/>
            </w:tcMar>
          </w:tcPr>
          <w:p>
            <w:pPr>
              <w:jc w:val="center"/>
            </w:pPr>
            <w:r>
              <w:rPr>
                <w:color w:val="1B2A3A"/>
                <w:sz w:val="19"/>
                <w:szCs w:val="19"/>
              </w:rPr>
              <w:t xml:space="preserve">29,8</w:t>
            </w:r>
          </w:p>
        </w:tc>
        <w:tc>
          <w:tcPr>
            <w:tcW w:type="dxa" w:w="1467"/>
            <w:tcMar>
              <w:top w:type="dxa" w:w="55"/>
              <w:left w:type="dxa" w:w="100"/>
              <w:bottom w:type="dxa" w:w="55"/>
              <w:right w:type="dxa" w:w="100"/>
            </w:tcMar>
          </w:tcPr>
          <w:p>
            <w:pPr>
              <w:jc w:val="center"/>
            </w:pPr>
            <w:r>
              <w:rPr>
                <w:color w:val="1B2A3A"/>
                <w:sz w:val="19"/>
                <w:szCs w:val="19"/>
              </w:rPr>
              <w:t xml:space="preserve">17,5</w:t>
            </w:r>
          </w:p>
        </w:tc>
        <w:tc>
          <w:tcPr>
            <w:tcW w:type="dxa" w:w="1467"/>
            <w:tcMar>
              <w:top w:type="dxa" w:w="55"/>
              <w:left w:type="dxa" w:w="100"/>
              <w:bottom w:type="dxa" w:w="55"/>
              <w:right w:type="dxa" w:w="100"/>
            </w:tcMar>
          </w:tcPr>
          <w:p>
            <w:pPr>
              <w:jc w:val="center"/>
            </w:pPr>
            <w:r>
              <w:rPr>
                <w:color w:val="1B2A3A"/>
                <w:sz w:val="19"/>
                <w:szCs w:val="19"/>
              </w:rPr>
              <w:t xml:space="preserve">16,4</w:t>
            </w:r>
          </w:p>
        </w:tc>
      </w:tr>
      <w:tr>
        <w:tc>
          <w:tcPr>
            <w:tcW w:type="dxa" w:w="4626"/>
            <w:shd w:fill="003B7A" w:color="auto" w:val="clear"/>
            <w:tcMar>
              <w:top w:type="dxa" w:w="55"/>
              <w:left w:type="dxa" w:w="100"/>
              <w:bottom w:type="dxa" w:w="55"/>
              <w:right w:type="dxa" w:w="100"/>
            </w:tcMar>
          </w:tcPr>
          <w:p>
            <w:pPr>
              <w:jc w:val="left"/>
            </w:pPr>
            <w:r>
              <w:rPr>
                <w:b/>
                <w:bCs/>
                <w:color w:val="FFFFFF"/>
                <w:sz w:val="19"/>
                <w:szCs w:val="19"/>
              </w:rPr>
              <w:t xml:space="preserve">MOYENNE</w:t>
            </w:r>
          </w:p>
        </w:tc>
        <w:tc>
          <w:tcPr>
            <w:tcW w:type="dxa" w:w="1466"/>
            <w:shd w:fill="003B7A" w:color="auto" w:val="clear"/>
            <w:tcMar>
              <w:top w:type="dxa" w:w="55"/>
              <w:left w:type="dxa" w:w="100"/>
              <w:bottom w:type="dxa" w:w="55"/>
              <w:right w:type="dxa" w:w="100"/>
            </w:tcMar>
          </w:tcPr>
          <w:p>
            <w:pPr>
              <w:jc w:val="center"/>
            </w:pPr>
            <w:r>
              <w:rPr>
                <w:b w:val="false"/>
                <w:bCs w:val="false"/>
                <w:color w:val="FFFFFF"/>
                <w:sz w:val="19"/>
                <w:szCs w:val="19"/>
              </w:rPr>
              <w:t xml:space="preserve">65,9</w:t>
            </w:r>
          </w:p>
        </w:tc>
        <w:tc>
          <w:tcPr>
            <w:tcW w:type="dxa" w:w="1467"/>
            <w:shd w:fill="003B7A" w:color="auto" w:val="clear"/>
            <w:tcMar>
              <w:top w:type="dxa" w:w="55"/>
              <w:left w:type="dxa" w:w="100"/>
              <w:bottom w:type="dxa" w:w="55"/>
              <w:right w:type="dxa" w:w="100"/>
            </w:tcMar>
          </w:tcPr>
          <w:p>
            <w:pPr>
              <w:jc w:val="center"/>
            </w:pPr>
            <w:r>
              <w:rPr>
                <w:b w:val="false"/>
                <w:bCs w:val="false"/>
                <w:color w:val="FFFFFF"/>
                <w:sz w:val="19"/>
                <w:szCs w:val="19"/>
              </w:rPr>
              <w:t xml:space="preserve">43,5</w:t>
            </w:r>
          </w:p>
        </w:tc>
        <w:tc>
          <w:tcPr>
            <w:tcW w:type="dxa" w:w="1467"/>
            <w:shd w:fill="003B7A" w:color="auto" w:val="clear"/>
            <w:tcMar>
              <w:top w:type="dxa" w:w="55"/>
              <w:left w:type="dxa" w:w="100"/>
              <w:bottom w:type="dxa" w:w="55"/>
              <w:right w:type="dxa" w:w="100"/>
            </w:tcMar>
          </w:tcPr>
          <w:p>
            <w:pPr>
              <w:jc w:val="center"/>
            </w:pPr>
            <w:r>
              <w:rPr>
                <w:b w:val="false"/>
                <w:bCs w:val="false"/>
                <w:color w:val="FFFFFF"/>
                <w:sz w:val="19"/>
                <w:szCs w:val="19"/>
              </w:rPr>
              <w:t xml:space="preserve">37,3</w:t>
            </w:r>
          </w:p>
        </w:tc>
      </w:tr>
    </w:tbl>
    <w:p>
      <w:pPr>
        <w:spacing w:after="60"/>
      </w:pPr>
    </w:p>
    <w:p>
      <w:pPr>
        <w:spacing w:after="120"/>
      </w:pPr>
      <w:r>
        <w:rPr>
          <w:i/>
          <w:iCs/>
          <w:color w:val="1B2A3A"/>
          <w:sz w:val="22"/>
          <w:szCs w:val="22"/>
        </w:rPr>
        <w:t xml:space="preserve">Prophet réduit l'erreur de 34 % vs la baseline ; l'ajout de l'effet promotions la réduit de 43 % au total. La prévision sert directement à anticiper les stocks (cf. brique « couverture de stock » du dashboard).</w:t>
      </w:r>
    </w:p>
    <w:p>
      <w:pPr>
        <w:pStyle w:val="Heading2"/>
        <w:spacing w:after="70" w:before="180"/>
        <w:outlineLvl w:val="1"/>
      </w:pPr>
      <w:r>
        <w:rPr>
          <w:b/>
          <w:bCs/>
          <w:color w:val="FF7A00"/>
          <w:sz w:val="23"/>
          <w:szCs w:val="23"/>
        </w:rPr>
        <w:t xml:space="preserve">6.2 Optimisation des prix (élasticité)</w:t>
      </w:r>
    </w:p>
    <w:p>
      <w:pPr>
        <w:spacing w:after="120"/>
      </w:pPr>
      <w:r>
        <w:rPr>
          <w:color w:val="1B2A3A"/>
          <w:sz w:val="22"/>
          <w:szCs w:val="22"/>
        </w:rPr>
        <w:t xml:space="preserve">L'élasticité-prix est estimée à partir des promotions (modèle log-log). Elle ressort autour de −2,5, relativement homogène entre catégories. Le prix optimal maximise la marge (prix = coût × E/(E+1)).</w:t>
      </w:r>
    </w:p>
    <w:p>
      <w:pPr>
        <w:pStyle w:val="ListParagraph"/>
        <w:numPr>
          <w:ilvl w:val="0"/>
          <w:numId w:val="1"/>
        </w:numPr>
        <w:spacing w:after="60"/>
      </w:pPr>
      <w:r>
        <w:rPr>
          <w:b/>
          <w:bCs/>
          <w:color w:val="003B7A"/>
          <w:sz w:val="22"/>
          <w:szCs w:val="22"/>
        </w:rPr>
        <w:t xml:space="preserve">Résultat — </w:t>
      </w:r>
      <w:r>
        <w:rPr>
          <w:color w:val="1B2A3A"/>
          <w:sz w:val="22"/>
          <w:szCs w:val="22"/>
        </w:rPr>
        <w:t xml:space="preserve">prix recommandés en moyenne +14 % au-dessus des prix actuels, pour un gain de marge de +3,8 %.</w:t>
      </w:r>
    </w:p>
    <w:p>
      <w:pPr>
        <w:pBdr>
          <w:left w:val="single" w:color="FF7A00" w:sz="18" w:space="6"/>
        </w:pBdr>
        <w:shd w:fill="EAF1F9" w:color="auto" w:val="clear"/>
        <w:spacing w:after="130" w:before="60"/>
      </w:pPr>
      <w:r>
        <w:rPr>
          <w:b/>
          <w:bCs/>
          <w:color w:val="FF7A00"/>
          <w:sz w:val="22"/>
          <w:szCs w:val="22"/>
        </w:rPr>
        <w:t xml:space="preserve">Nuance assumée : </w:t>
      </w:r>
      <w:r>
        <w:rPr>
          <w:color w:val="1B2A3A"/>
          <w:sz w:val="22"/>
          <w:szCs w:val="22"/>
        </w:rPr>
        <w:t xml:space="preserve">l'élasticité étant quasi homogène entre catégories (artefact des données synthétiques), la différenciation par catégorie est limitée ; sur données réelles, les écarts seraient plus marqués. Un effet saisonnier reste partiellement confondu.</w:t>
      </w:r>
    </w:p>
    <w:p>
      <w:pPr>
        <w:pStyle w:val="Heading2"/>
        <w:spacing w:after="70" w:before="180"/>
        <w:outlineLvl w:val="1"/>
      </w:pPr>
      <w:r>
        <w:rPr>
          <w:b/>
          <w:bCs/>
          <w:color w:val="FF7A00"/>
          <w:sz w:val="23"/>
          <w:szCs w:val="23"/>
        </w:rPr>
        <w:t xml:space="preserve">6.3 Recommandation de produits (hybride)</w:t>
      </w:r>
    </w:p>
    <w:p>
      <w:pPr>
        <w:spacing w:after="120"/>
      </w:pPr>
      <w:r>
        <w:rPr>
          <w:color w:val="1B2A3A"/>
          <w:sz w:val="22"/>
          <w:szCs w:val="22"/>
        </w:rPr>
        <w:t xml:space="preserve">Système hybride : content-based (produits similaires par attributs) + collaboratif item-item (produits achetés ensemble). Évaluation Precision@5 / Recall@5 sur découpage temporel.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2200"/>
        <w:gridCol w:w="2200"/>
      </w:tblGrid>
      <w:tr>
        <w:trPr>
          <w:tblHeader/>
        </w:trPr>
        <w:tc>
          <w:tcPr>
            <w:tcW w:type="dxa" w:w="4626"/>
            <w:shd w:fill="003B7A" w:color="auto" w:val="clear"/>
            <w:tcMar>
              <w:top w:type="dxa" w:w="55"/>
              <w:left w:type="dxa" w:w="100"/>
              <w:bottom w:type="dxa" w:w="55"/>
              <w:right w:type="dxa" w:w="100"/>
            </w:tcMar>
          </w:tcPr>
          <w:p>
            <w:pPr>
              <w:jc w:val="left"/>
            </w:pPr>
            <w:r>
              <w:rPr>
                <w:b/>
                <w:bCs/>
                <w:color w:val="FFFFFF"/>
                <w:sz w:val="19"/>
                <w:szCs w:val="19"/>
              </w:rPr>
              <w:t xml:space="preserve">Modèle</w:t>
            </w:r>
          </w:p>
        </w:tc>
        <w:tc>
          <w:tcPr>
            <w:tcW w:type="dxa" w:w="2200"/>
            <w:shd w:fill="003B7A" w:color="auto" w:val="clear"/>
            <w:tcMar>
              <w:top w:type="dxa" w:w="55"/>
              <w:left w:type="dxa" w:w="100"/>
              <w:bottom w:type="dxa" w:w="55"/>
              <w:right w:type="dxa" w:w="100"/>
            </w:tcMar>
          </w:tcPr>
          <w:p>
            <w:pPr>
              <w:jc w:val="center"/>
            </w:pPr>
            <w:r>
              <w:rPr>
                <w:b/>
                <w:bCs/>
                <w:color w:val="FFFFFF"/>
                <w:sz w:val="19"/>
                <w:szCs w:val="19"/>
              </w:rPr>
              <w:t xml:space="preserve">Recall@5</w:t>
            </w:r>
          </w:p>
        </w:tc>
        <w:tc>
          <w:tcPr>
            <w:tcW w:type="dxa" w:w="2200"/>
            <w:shd w:fill="003B7A" w:color="auto" w:val="clear"/>
            <w:tcMar>
              <w:top w:type="dxa" w:w="55"/>
              <w:left w:type="dxa" w:w="100"/>
              <w:bottom w:type="dxa" w:w="55"/>
              <w:right w:type="dxa" w:w="100"/>
            </w:tcMar>
          </w:tcPr>
          <w:p>
            <w:pPr>
              <w:jc w:val="center"/>
            </w:pPr>
            <w:r>
              <w:rPr>
                <w:b/>
                <w:bCs/>
                <w:color w:val="FFFFFF"/>
                <w:sz w:val="19"/>
                <w:szCs w:val="19"/>
              </w:rPr>
              <w:t xml:space="preserve">Precision@5</w:t>
            </w:r>
          </w:p>
        </w:tc>
      </w:tr>
      <w:tr>
        <w:tc>
          <w:tcPr>
            <w:tcW w:type="dxa" w:w="4626"/>
            <w:tcMar>
              <w:top w:type="dxa" w:w="55"/>
              <w:left w:type="dxa" w:w="100"/>
              <w:bottom w:type="dxa" w:w="55"/>
              <w:right w:type="dxa" w:w="100"/>
            </w:tcMar>
          </w:tcPr>
          <w:p>
            <w:pPr>
              <w:jc w:val="left"/>
            </w:pPr>
            <w:r>
              <w:rPr>
                <w:color w:val="1B2A3A"/>
                <w:sz w:val="19"/>
                <w:szCs w:val="19"/>
              </w:rPr>
              <w:t xml:space="preserve">Hasard (aléatoire)</w:t>
            </w:r>
          </w:p>
        </w:tc>
        <w:tc>
          <w:tcPr>
            <w:tcW w:type="dxa" w:w="2200"/>
            <w:tcMar>
              <w:top w:type="dxa" w:w="55"/>
              <w:left w:type="dxa" w:w="100"/>
              <w:bottom w:type="dxa" w:w="55"/>
              <w:right w:type="dxa" w:w="100"/>
            </w:tcMar>
          </w:tcPr>
          <w:p>
            <w:pPr>
              <w:jc w:val="center"/>
            </w:pPr>
            <w:r>
              <w:rPr>
                <w:color w:val="1B2A3A"/>
                <w:sz w:val="19"/>
                <w:szCs w:val="19"/>
              </w:rPr>
              <w:t xml:space="preserve">1,0 %</w:t>
            </w:r>
          </w:p>
        </w:tc>
        <w:tc>
          <w:tcPr>
            <w:tcW w:type="dxa" w:w="2200"/>
            <w:tcMar>
              <w:top w:type="dxa" w:w="55"/>
              <w:left w:type="dxa" w:w="100"/>
              <w:bottom w:type="dxa" w:w="55"/>
              <w:right w:type="dxa" w:w="100"/>
            </w:tcMar>
          </w:tcPr>
          <w:p>
            <w:pPr>
              <w:jc w:val="center"/>
            </w:pPr>
            <w:r>
              <w:rPr>
                <w:color w:val="1B2A3A"/>
                <w:sz w:val="19"/>
                <w:szCs w:val="19"/>
              </w:rPr>
              <w:t xml:space="preserve">0,2 %</w:t>
            </w:r>
          </w:p>
        </w:tc>
      </w:tr>
      <w:tr>
        <w:tc>
          <w:tcPr>
            <w:tcW w:type="dxa" w:w="4626"/>
            <w:shd w:fill="F5F8FB" w:color="auto" w:val="clear"/>
            <w:tcMar>
              <w:top w:type="dxa" w:w="55"/>
              <w:left w:type="dxa" w:w="100"/>
              <w:bottom w:type="dxa" w:w="55"/>
              <w:right w:type="dxa" w:w="100"/>
            </w:tcMar>
          </w:tcPr>
          <w:p>
            <w:pPr>
              <w:jc w:val="left"/>
            </w:pPr>
            <w:r>
              <w:rPr>
                <w:color w:val="1B2A3A"/>
                <w:sz w:val="19"/>
                <w:szCs w:val="19"/>
              </w:rPr>
              <w:t xml:space="preserve">Populaire (baseline)</w:t>
            </w:r>
          </w:p>
        </w:tc>
        <w:tc>
          <w:tcPr>
            <w:tcW w:type="dxa" w:w="2200"/>
            <w:shd w:fill="F5F8FB" w:color="auto" w:val="clear"/>
            <w:tcMar>
              <w:top w:type="dxa" w:w="55"/>
              <w:left w:type="dxa" w:w="100"/>
              <w:bottom w:type="dxa" w:w="55"/>
              <w:right w:type="dxa" w:w="100"/>
            </w:tcMar>
          </w:tcPr>
          <w:p>
            <w:pPr>
              <w:jc w:val="center"/>
            </w:pPr>
            <w:r>
              <w:rPr>
                <w:color w:val="1B2A3A"/>
                <w:sz w:val="19"/>
                <w:szCs w:val="19"/>
              </w:rPr>
              <w:t xml:space="preserve">6,9 %</w:t>
            </w:r>
          </w:p>
        </w:tc>
        <w:tc>
          <w:tcPr>
            <w:tcW w:type="dxa" w:w="2200"/>
            <w:shd w:fill="F5F8FB" w:color="auto" w:val="clear"/>
            <w:tcMar>
              <w:top w:type="dxa" w:w="55"/>
              <w:left w:type="dxa" w:w="100"/>
              <w:bottom w:type="dxa" w:w="55"/>
              <w:right w:type="dxa" w:w="100"/>
            </w:tcMar>
          </w:tcPr>
          <w:p>
            <w:pPr>
              <w:jc w:val="center"/>
            </w:pPr>
            <w:r>
              <w:rPr>
                <w:color w:val="1B2A3A"/>
                <w:sz w:val="19"/>
                <w:szCs w:val="19"/>
              </w:rPr>
              <w:t xml:space="preserve">1,4 %</w:t>
            </w:r>
          </w:p>
        </w:tc>
      </w:tr>
      <w:tr>
        <w:tc>
          <w:tcPr>
            <w:tcW w:type="dxa" w:w="4626"/>
            <w:tcMar>
              <w:top w:type="dxa" w:w="55"/>
              <w:left w:type="dxa" w:w="100"/>
              <w:bottom w:type="dxa" w:w="55"/>
              <w:right w:type="dxa" w:w="100"/>
            </w:tcMar>
          </w:tcPr>
          <w:p>
            <w:pPr>
              <w:jc w:val="left"/>
            </w:pPr>
            <w:r>
              <w:rPr>
                <w:color w:val="1B2A3A"/>
                <w:sz w:val="19"/>
                <w:szCs w:val="19"/>
              </w:rPr>
              <w:t xml:space="preserve">Content-based</w:t>
            </w:r>
          </w:p>
        </w:tc>
        <w:tc>
          <w:tcPr>
            <w:tcW w:type="dxa" w:w="2200"/>
            <w:tcMar>
              <w:top w:type="dxa" w:w="55"/>
              <w:left w:type="dxa" w:w="100"/>
              <w:bottom w:type="dxa" w:w="55"/>
              <w:right w:type="dxa" w:w="100"/>
            </w:tcMar>
          </w:tcPr>
          <w:p>
            <w:pPr>
              <w:jc w:val="center"/>
            </w:pPr>
            <w:r>
              <w:rPr>
                <w:color w:val="1B2A3A"/>
                <w:sz w:val="19"/>
                <w:szCs w:val="19"/>
              </w:rPr>
              <w:t xml:space="preserve">1,2 %</w:t>
            </w:r>
          </w:p>
        </w:tc>
        <w:tc>
          <w:tcPr>
            <w:tcW w:type="dxa" w:w="2200"/>
            <w:tcMar>
              <w:top w:type="dxa" w:w="55"/>
              <w:left w:type="dxa" w:w="100"/>
              <w:bottom w:type="dxa" w:w="55"/>
              <w:right w:type="dxa" w:w="100"/>
            </w:tcMar>
          </w:tcPr>
          <w:p>
            <w:pPr>
              <w:jc w:val="center"/>
            </w:pPr>
            <w:r>
              <w:rPr>
                <w:color w:val="1B2A3A"/>
                <w:sz w:val="19"/>
                <w:szCs w:val="19"/>
              </w:rPr>
              <w:t xml:space="preserve">0,2 %</w:t>
            </w:r>
          </w:p>
        </w:tc>
      </w:tr>
      <w:tr>
        <w:tc>
          <w:tcPr>
            <w:tcW w:type="dxa" w:w="4626"/>
            <w:shd w:fill="F5F8FB" w:color="auto" w:val="clear"/>
            <w:tcMar>
              <w:top w:type="dxa" w:w="55"/>
              <w:left w:type="dxa" w:w="100"/>
              <w:bottom w:type="dxa" w:w="55"/>
              <w:right w:type="dxa" w:w="100"/>
            </w:tcMar>
          </w:tcPr>
          <w:p>
            <w:pPr>
              <w:jc w:val="left"/>
            </w:pPr>
            <w:r>
              <w:rPr>
                <w:color w:val="1B2A3A"/>
                <w:sz w:val="19"/>
                <w:szCs w:val="19"/>
              </w:rPr>
              <w:t xml:space="preserve">Collaboratif</w:t>
            </w:r>
          </w:p>
        </w:tc>
        <w:tc>
          <w:tcPr>
            <w:tcW w:type="dxa" w:w="2200"/>
            <w:shd w:fill="F5F8FB" w:color="auto" w:val="clear"/>
            <w:tcMar>
              <w:top w:type="dxa" w:w="55"/>
              <w:left w:type="dxa" w:w="100"/>
              <w:bottom w:type="dxa" w:w="55"/>
              <w:right w:type="dxa" w:w="100"/>
            </w:tcMar>
          </w:tcPr>
          <w:p>
            <w:pPr>
              <w:jc w:val="center"/>
            </w:pPr>
            <w:r>
              <w:rPr>
                <w:color w:val="1B2A3A"/>
                <w:sz w:val="19"/>
                <w:szCs w:val="19"/>
              </w:rPr>
              <w:t xml:space="preserve">6,8 %</w:t>
            </w:r>
          </w:p>
        </w:tc>
        <w:tc>
          <w:tcPr>
            <w:tcW w:type="dxa" w:w="2200"/>
            <w:shd w:fill="F5F8FB" w:color="auto" w:val="clear"/>
            <w:tcMar>
              <w:top w:type="dxa" w:w="55"/>
              <w:left w:type="dxa" w:w="100"/>
              <w:bottom w:type="dxa" w:w="55"/>
              <w:right w:type="dxa" w:w="100"/>
            </w:tcMar>
          </w:tcPr>
          <w:p>
            <w:pPr>
              <w:jc w:val="center"/>
            </w:pPr>
            <w:r>
              <w:rPr>
                <w:color w:val="1B2A3A"/>
                <w:sz w:val="19"/>
                <w:szCs w:val="19"/>
              </w:rPr>
              <w:t xml:space="preserve">1,4 %</w:t>
            </w:r>
          </w:p>
        </w:tc>
      </w:tr>
      <w:tr>
        <w:tc>
          <w:tcPr>
            <w:tcW w:type="dxa" w:w="4626"/>
            <w:tcMar>
              <w:top w:type="dxa" w:w="55"/>
              <w:left w:type="dxa" w:w="100"/>
              <w:bottom w:type="dxa" w:w="55"/>
              <w:right w:type="dxa" w:w="100"/>
            </w:tcMar>
          </w:tcPr>
          <w:p>
            <w:pPr>
              <w:jc w:val="left"/>
            </w:pPr>
            <w:r>
              <w:rPr>
                <w:color w:val="1B2A3A"/>
                <w:sz w:val="19"/>
                <w:szCs w:val="19"/>
              </w:rPr>
              <w:t xml:space="preserve">Hybride (α = 0,5)</w:t>
            </w:r>
          </w:p>
        </w:tc>
        <w:tc>
          <w:tcPr>
            <w:tcW w:type="dxa" w:w="2200"/>
            <w:tcMar>
              <w:top w:type="dxa" w:w="55"/>
              <w:left w:type="dxa" w:w="100"/>
              <w:bottom w:type="dxa" w:w="55"/>
              <w:right w:type="dxa" w:w="100"/>
            </w:tcMar>
          </w:tcPr>
          <w:p>
            <w:pPr>
              <w:jc w:val="center"/>
            </w:pPr>
            <w:r>
              <w:rPr>
                <w:color w:val="1B2A3A"/>
                <w:sz w:val="19"/>
                <w:szCs w:val="19"/>
              </w:rPr>
              <w:t xml:space="preserve">4,5 %</w:t>
            </w:r>
          </w:p>
        </w:tc>
        <w:tc>
          <w:tcPr>
            <w:tcW w:type="dxa" w:w="2200"/>
            <w:tcMar>
              <w:top w:type="dxa" w:w="55"/>
              <w:left w:type="dxa" w:w="100"/>
              <w:bottom w:type="dxa" w:w="55"/>
              <w:right w:type="dxa" w:w="100"/>
            </w:tcMar>
          </w:tcPr>
          <w:p>
            <w:pPr>
              <w:jc w:val="center"/>
            </w:pPr>
            <w:r>
              <w:rPr>
                <w:color w:val="1B2A3A"/>
                <w:sz w:val="19"/>
                <w:szCs w:val="19"/>
              </w:rPr>
              <w:t xml:space="preserve">0,9 %</w:t>
            </w:r>
          </w:p>
        </w:tc>
      </w:tr>
    </w:tbl>
    <w:p>
      <w:pPr>
        <w:spacing w:after="60"/>
      </w:pPr>
    </w:p>
    <w:p>
      <w:pPr>
        <w:pBdr>
          <w:left w:val="single" w:color="003B7A" w:sz="18" w:space="6"/>
        </w:pBdr>
        <w:shd w:fill="EAF1F9" w:color="auto" w:val="clear"/>
        <w:spacing w:after="130" w:before="60"/>
      </w:pPr>
      <w:r>
        <w:rPr>
          <w:b/>
          <w:bCs/>
          <w:color w:val="003B7A"/>
          <w:sz w:val="22"/>
          <w:szCs w:val="22"/>
        </w:rPr>
        <w:t xml:space="preserve">Résultat honnête : </w:t>
      </w:r>
      <w:r>
        <w:rPr>
          <w:color w:val="1B2A3A"/>
          <w:sz w:val="22"/>
          <w:szCs w:val="22"/>
        </w:rPr>
        <w:t xml:space="preserve">sur ce jeu synthétique, rien ne bat la popularité (~6,9 %) ; le collaboratif l'égale (~6,8 %), soit environ 7 fois le hasard. La valeur de la recommandation réside dans la personnalisation et la diversité — à confirmer par un A/B test en conditions réelles.</w:t>
      </w:r>
    </w:p>
    <w:p>
      <w:pPr>
        <w:pStyle w:val="Heading2"/>
        <w:spacing w:after="70" w:before="180"/>
        <w:outlineLvl w:val="1"/>
      </w:pPr>
      <w:r>
        <w:rPr>
          <w:b/>
          <w:bCs/>
          <w:color w:val="FF7A00"/>
          <w:sz w:val="23"/>
          <w:szCs w:val="23"/>
        </w:rPr>
        <w:t xml:space="preserve">6.4 Synthèse (scorecard)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13"/>
        <w:gridCol w:w="2913"/>
      </w:tblGrid>
      <w:tr>
        <w:trPr>
          <w:tblHeader/>
        </w:trPr>
        <w:tc>
          <w:tcPr>
            <w:tcW w:type="dxa" w:w="3200"/>
            <w:shd w:fill="003B7A" w:color="auto" w:val="clear"/>
            <w:tcMar>
              <w:top w:type="dxa" w:w="55"/>
              <w:left w:type="dxa" w:w="100"/>
              <w:bottom w:type="dxa" w:w="55"/>
              <w:right w:type="dxa" w:w="100"/>
            </w:tcMar>
          </w:tcPr>
          <w:p>
            <w:pPr>
              <w:jc w:val="left"/>
            </w:pPr>
            <w:r>
              <w:rPr>
                <w:b/>
                <w:bCs/>
                <w:color w:val="FFFFFF"/>
                <w:sz w:val="19"/>
                <w:szCs w:val="19"/>
              </w:rPr>
              <w:t xml:space="preserve">Modèle</w:t>
            </w:r>
          </w:p>
        </w:tc>
        <w:tc>
          <w:tcPr>
            <w:tcW w:type="dxa" w:w="2913"/>
            <w:shd w:fill="003B7A" w:color="auto" w:val="clear"/>
            <w:tcMar>
              <w:top w:type="dxa" w:w="55"/>
              <w:left w:type="dxa" w:w="100"/>
              <w:bottom w:type="dxa" w:w="55"/>
              <w:right w:type="dxa" w:w="100"/>
            </w:tcMar>
          </w:tcPr>
          <w:p>
            <w:pPr>
              <w:jc w:val="center"/>
            </w:pPr>
            <w:r>
              <w:rPr>
                <w:b/>
                <w:bCs/>
                <w:color w:val="FFFFFF"/>
                <w:sz w:val="19"/>
                <w:szCs w:val="19"/>
              </w:rPr>
              <w:t xml:space="preserve">Baseline → Notre modèle</w:t>
            </w:r>
          </w:p>
        </w:tc>
        <w:tc>
          <w:tcPr>
            <w:tcW w:type="dxa" w:w="2913"/>
            <w:shd w:fill="003B7A" w:color="auto" w:val="clear"/>
            <w:tcMar>
              <w:top w:type="dxa" w:w="55"/>
              <w:left w:type="dxa" w:w="100"/>
              <w:bottom w:type="dxa" w:w="55"/>
              <w:right w:type="dxa" w:w="100"/>
            </w:tcMar>
          </w:tcPr>
          <w:p>
            <w:pPr>
              <w:jc w:val="center"/>
            </w:pPr>
            <w:r>
              <w:rPr>
                <w:b/>
                <w:bCs/>
                <w:color w:val="FFFFFF"/>
                <w:sz w:val="19"/>
                <w:szCs w:val="19"/>
              </w:rPr>
              <w:t xml:space="preserve">Résultat</w:t>
            </w:r>
          </w:p>
        </w:tc>
      </w:tr>
      <w:tr>
        <w:tc>
          <w:tcPr>
            <w:tcW w:type="dxa" w:w="3200"/>
            <w:tcMar>
              <w:top w:type="dxa" w:w="55"/>
              <w:left w:type="dxa" w:w="100"/>
              <w:bottom w:type="dxa" w:w="55"/>
              <w:right w:type="dxa" w:w="100"/>
            </w:tcMar>
          </w:tcPr>
          <w:p>
            <w:pPr>
              <w:jc w:val="left"/>
            </w:pPr>
            <w:r>
              <w:rPr>
                <w:color w:val="1B2A3A"/>
                <w:sz w:val="19"/>
                <w:szCs w:val="19"/>
              </w:rPr>
              <w:t xml:space="preserve">Prévision demande</w:t>
            </w:r>
          </w:p>
        </w:tc>
        <w:tc>
          <w:tcPr>
            <w:tcW w:type="dxa" w:w="2913"/>
            <w:tcMar>
              <w:top w:type="dxa" w:w="55"/>
              <w:left w:type="dxa" w:w="100"/>
              <w:bottom w:type="dxa" w:w="55"/>
              <w:right w:type="dxa" w:w="100"/>
            </w:tcMar>
          </w:tcPr>
          <w:p>
            <w:pPr>
              <w:jc w:val="center"/>
            </w:pPr>
            <w:r>
              <w:rPr>
                <w:color w:val="1B2A3A"/>
                <w:sz w:val="19"/>
                <w:szCs w:val="19"/>
              </w:rPr>
              <w:t xml:space="preserve">66 (naïf) → 37 (Prophet+promo)</w:t>
            </w:r>
          </w:p>
        </w:tc>
        <w:tc>
          <w:tcPr>
            <w:tcW w:type="dxa" w:w="2913"/>
            <w:tcMar>
              <w:top w:type="dxa" w:w="55"/>
              <w:left w:type="dxa" w:w="100"/>
              <w:bottom w:type="dxa" w:w="55"/>
              <w:right w:type="dxa" w:w="100"/>
            </w:tcMar>
          </w:tcPr>
          <w:p>
            <w:pPr>
              <w:jc w:val="center"/>
            </w:pPr>
            <w:r>
              <w:rPr>
                <w:color w:val="1B2A3A"/>
                <w:sz w:val="19"/>
                <w:szCs w:val="19"/>
              </w:rPr>
              <w:t xml:space="preserve">−43 % d'erreur</w:t>
            </w:r>
          </w:p>
        </w:tc>
      </w:tr>
      <w:tr>
        <w:tc>
          <w:tcPr>
            <w:tcW w:type="dxa" w:w="3200"/>
            <w:shd w:fill="F5F8FB" w:color="auto" w:val="clear"/>
            <w:tcMar>
              <w:top w:type="dxa" w:w="55"/>
              <w:left w:type="dxa" w:w="100"/>
              <w:bottom w:type="dxa" w:w="55"/>
              <w:right w:type="dxa" w:w="100"/>
            </w:tcMar>
          </w:tcPr>
          <w:p>
            <w:pPr>
              <w:jc w:val="left"/>
            </w:pPr>
            <w:r>
              <w:rPr>
                <w:color w:val="1B2A3A"/>
                <w:sz w:val="19"/>
                <w:szCs w:val="19"/>
              </w:rPr>
              <w:t xml:space="preserve">Optimisation prix</w:t>
            </w:r>
          </w:p>
        </w:tc>
        <w:tc>
          <w:tcPr>
            <w:tcW w:type="dxa" w:w="2913"/>
            <w:shd w:fill="F5F8FB" w:color="auto" w:val="clear"/>
            <w:tcMar>
              <w:top w:type="dxa" w:w="55"/>
              <w:left w:type="dxa" w:w="100"/>
              <w:bottom w:type="dxa" w:w="55"/>
              <w:right w:type="dxa" w:w="100"/>
            </w:tcMar>
          </w:tcPr>
          <w:p>
            <w:pPr>
              <w:jc w:val="center"/>
            </w:pPr>
            <w:r>
              <w:rPr>
                <w:color w:val="1B2A3A"/>
                <w:sz w:val="19"/>
                <w:szCs w:val="19"/>
              </w:rPr>
              <w:t xml:space="preserve">prix actuels → +14 % de prix</w:t>
            </w:r>
          </w:p>
        </w:tc>
        <w:tc>
          <w:tcPr>
            <w:tcW w:type="dxa" w:w="2913"/>
            <w:shd w:fill="F5F8FB" w:color="auto" w:val="clear"/>
            <w:tcMar>
              <w:top w:type="dxa" w:w="55"/>
              <w:left w:type="dxa" w:w="100"/>
              <w:bottom w:type="dxa" w:w="55"/>
              <w:right w:type="dxa" w:w="100"/>
            </w:tcMar>
          </w:tcPr>
          <w:p>
            <w:pPr>
              <w:jc w:val="center"/>
            </w:pPr>
            <w:r>
              <w:rPr>
                <w:color w:val="1B2A3A"/>
                <w:sz w:val="19"/>
                <w:szCs w:val="19"/>
              </w:rPr>
              <w:t xml:space="preserve">+3,8 % de marge</w:t>
            </w:r>
          </w:p>
        </w:tc>
      </w:tr>
      <w:tr>
        <w:tc>
          <w:tcPr>
            <w:tcW w:type="dxa" w:w="3200"/>
            <w:tcMar>
              <w:top w:type="dxa" w:w="55"/>
              <w:left w:type="dxa" w:w="100"/>
              <w:bottom w:type="dxa" w:w="55"/>
              <w:right w:type="dxa" w:w="100"/>
            </w:tcMar>
          </w:tcPr>
          <w:p>
            <w:pPr>
              <w:jc w:val="left"/>
            </w:pPr>
            <w:r>
              <w:rPr>
                <w:color w:val="1B2A3A"/>
                <w:sz w:val="19"/>
                <w:szCs w:val="19"/>
              </w:rPr>
              <w:t xml:space="preserve">Recommandation</w:t>
            </w:r>
          </w:p>
        </w:tc>
        <w:tc>
          <w:tcPr>
            <w:tcW w:type="dxa" w:w="2913"/>
            <w:tcMar>
              <w:top w:type="dxa" w:w="55"/>
              <w:left w:type="dxa" w:w="100"/>
              <w:bottom w:type="dxa" w:w="55"/>
              <w:right w:type="dxa" w:w="100"/>
            </w:tcMar>
          </w:tcPr>
          <w:p>
            <w:pPr>
              <w:jc w:val="center"/>
            </w:pPr>
            <w:r>
              <w:rPr>
                <w:color w:val="1B2A3A"/>
                <w:sz w:val="19"/>
                <w:szCs w:val="19"/>
              </w:rPr>
              <w:t xml:space="preserve">1,0 % (hasard) → 6,8 % (collaboratif)</w:t>
            </w:r>
          </w:p>
        </w:tc>
        <w:tc>
          <w:tcPr>
            <w:tcW w:type="dxa" w:w="2913"/>
            <w:tcMar>
              <w:top w:type="dxa" w:w="55"/>
              <w:left w:type="dxa" w:w="100"/>
              <w:bottom w:type="dxa" w:w="55"/>
              <w:right w:type="dxa" w:w="100"/>
            </w:tcMar>
          </w:tcPr>
          <w:p>
            <w:pPr>
              <w:jc w:val="center"/>
            </w:pPr>
            <w:r>
              <w:rPr>
                <w:color w:val="1B2A3A"/>
                <w:sz w:val="19"/>
                <w:szCs w:val="19"/>
              </w:rPr>
              <w:t xml:space="preserve">~7× le hasard</w:t>
            </w:r>
          </w:p>
        </w:tc>
      </w:tr>
    </w:tbl>
    <w:p>
      <w:pPr>
        <w:pStyle w:val="Heading1"/>
        <w:pBdr>
          <w:bottom w:val="single" w:color="FF7A00" w:sz="12" w:space="4"/>
        </w:pBdr>
        <w:spacing w:after="130" w:before="300"/>
        <w:outlineLvl w:val="0"/>
      </w:pPr>
      <w:r>
        <w:rPr>
          <w:b/>
          <w:bCs/>
          <w:color w:val="003B7A"/>
          <w:sz w:val="28"/>
          <w:szCs w:val="28"/>
        </w:rPr>
        <w:t xml:space="preserve">7. Mise en production</w:t>
      </w:r>
    </w:p>
    <w:p>
      <w:pPr>
        <w:spacing w:after="120"/>
      </w:pPr>
      <w:r>
        <w:rPr>
          <w:color w:val="1B2A3A"/>
          <w:sz w:val="22"/>
          <w:szCs w:val="22"/>
        </w:rPr>
        <w:t xml:space="preserve">Les modèles sont rendus utilisables et surveillés :</w:t>
      </w:r>
    </w:p>
    <w:p>
      <w:pPr>
        <w:pStyle w:val="ListParagraph"/>
        <w:numPr>
          <w:ilvl w:val="0"/>
          <w:numId w:val="1"/>
        </w:numPr>
        <w:spacing w:after="60"/>
      </w:pPr>
      <w:r>
        <w:rPr>
          <w:b/>
          <w:bCs/>
          <w:color w:val="003B7A"/>
          <w:sz w:val="22"/>
          <w:szCs w:val="22"/>
        </w:rPr>
        <w:t xml:space="preserve">API — </w:t>
      </w:r>
      <w:r>
        <w:rPr>
          <w:color w:val="1B2A3A"/>
          <w:sz w:val="22"/>
          <w:szCs w:val="22"/>
        </w:rPr>
        <w:t xml:space="preserve">API REST FastAPI dockerisée, exposant prix dynamique, recommandations et historique client (5 endpoints).</w:t>
      </w:r>
    </w:p>
    <w:p>
      <w:pPr>
        <w:pStyle w:val="ListParagraph"/>
        <w:numPr>
          <w:ilvl w:val="0"/>
          <w:numId w:val="1"/>
        </w:numPr>
        <w:spacing w:after="60"/>
      </w:pPr>
      <w:r>
        <w:rPr>
          <w:b/>
          <w:bCs/>
          <w:color w:val="003B7A"/>
          <w:sz w:val="22"/>
          <w:szCs w:val="22"/>
        </w:rPr>
        <w:t xml:space="preserve">Dashboard — </w:t>
      </w:r>
      <w:r>
        <w:rPr>
          <w:color w:val="1B2A3A"/>
          <w:sz w:val="22"/>
          <w:szCs w:val="22"/>
        </w:rPr>
        <w:t xml:space="preserve">tableau de bord décisionnel « Cockpit Décisionnel » (Dash) en 11 sections : KPIs, santé des modèles, opportunités de prix, simulateur, remises par segment, prévision, couverture de stock, impact des promotions, carte du Sénégal, recommandations en direct.</w:t>
      </w:r>
    </w:p>
    <w:p>
      <w:pPr>
        <w:pStyle w:val="ListParagraph"/>
        <w:numPr>
          <w:ilvl w:val="0"/>
          <w:numId w:val="1"/>
        </w:numPr>
        <w:spacing w:after="60"/>
      </w:pPr>
      <w:r>
        <w:rPr>
          <w:b/>
          <w:bCs/>
          <w:color w:val="003B7A"/>
          <w:sz w:val="22"/>
          <w:szCs w:val="22"/>
        </w:rPr>
        <w:t xml:space="preserve">MLOps — </w:t>
      </w:r>
      <w:r>
        <w:rPr>
          <w:color w:val="1B2A3A"/>
          <w:sz w:val="22"/>
          <w:szCs w:val="22"/>
        </w:rPr>
        <w:t xml:space="preserve">suivi des expériences avec MLflow ; monitoring de dérive (PSI) — la demande dérive fortement (PSI ≈ 4,5 → ré-entraînement recommandé) tandis que prix et mix restent stables ; CI/CD via GitHub Actions (7 tests unitaires).</w:t>
      </w:r>
    </w:p>
    <w:p>
      <w:pPr>
        <w:spacing w:after="120"/>
      </w:pPr>
      <w:r>
        <w:rPr>
          <w:color w:val="1B2A3A"/>
          <w:sz w:val="22"/>
          <w:szCs w:val="22"/>
        </w:rPr>
        <w:t xml:space="preserve">Le code est déposé sur un dépôt Git public, avec les données, pour un clonage auto-suffisant.</w:t>
      </w:r>
    </w:p>
    <w:p>
      <w:pPr>
        <w:pStyle w:val="Heading1"/>
        <w:pBdr>
          <w:bottom w:val="single" w:color="FF7A00" w:sz="12" w:space="4"/>
        </w:pBdr>
        <w:spacing w:after="130" w:before="300"/>
        <w:outlineLvl w:val="0"/>
      </w:pPr>
      <w:r>
        <w:rPr>
          <w:b/>
          <w:bCs/>
          <w:color w:val="003B7A"/>
          <w:sz w:val="28"/>
          <w:szCs w:val="28"/>
        </w:rPr>
        <w:t xml:space="preserve">8. Analyse business et retour sur investissement</w:t>
      </w:r>
    </w:p>
    <w:p>
      <w:pPr>
        <w:spacing w:after="120"/>
      </w:pPr>
      <w:r>
        <w:rPr>
          <w:color w:val="1B2A3A"/>
          <w:sz w:val="22"/>
          <w:szCs w:val="22"/>
        </w:rPr>
        <w:t xml:space="preserve">La valeur business est estimée en scénario prudent, à partir des résultats réels des modèles (détail dans le business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413"/>
        <w:gridCol w:w="2413"/>
      </w:tblGrid>
      <w:tr>
        <w:trPr>
          <w:tblHeader/>
        </w:trPr>
        <w:tc>
          <w:tcPr>
            <w:tcW w:type="dxa" w:w="3200"/>
            <w:shd w:fill="003B7A" w:color="auto" w:val="clear"/>
            <w:tcMar>
              <w:top w:type="dxa" w:w="55"/>
              <w:left w:type="dxa" w:w="100"/>
              <w:bottom w:type="dxa" w:w="55"/>
              <w:right w:type="dxa" w:w="100"/>
            </w:tcMar>
          </w:tcPr>
          <w:p>
            <w:pPr>
              <w:jc w:val="left"/>
            </w:pPr>
            <w:r>
              <w:rPr>
                <w:b/>
                <w:bCs/>
                <w:color w:val="FFFFFF"/>
                <w:sz w:val="19"/>
                <w:szCs w:val="19"/>
              </w:rPr>
              <w:t xml:space="preserve">Levier</w:t>
            </w:r>
          </w:p>
        </w:tc>
        <w:tc>
          <w:tcPr>
            <w:tcW w:type="dxa" w:w="3413"/>
            <w:shd w:fill="003B7A" w:color="auto" w:val="clear"/>
            <w:tcMar>
              <w:top w:type="dxa" w:w="55"/>
              <w:left w:type="dxa" w:w="100"/>
              <w:bottom w:type="dxa" w:w="55"/>
              <w:right w:type="dxa" w:w="100"/>
            </w:tcMar>
          </w:tcPr>
          <w:p>
            <w:pPr>
              <w:jc w:val="center"/>
            </w:pPr>
            <w:r>
              <w:rPr>
                <w:b/>
                <w:bCs/>
                <w:color w:val="FFFFFF"/>
                <w:sz w:val="19"/>
                <w:szCs w:val="19"/>
              </w:rPr>
              <w:t xml:space="preserve">Hypothèse prudente</w:t>
            </w:r>
          </w:p>
        </w:tc>
        <w:tc>
          <w:tcPr>
            <w:tcW w:type="dxa" w:w="2413"/>
            <w:shd w:fill="003B7A" w:color="auto" w:val="clear"/>
            <w:tcMar>
              <w:top w:type="dxa" w:w="55"/>
              <w:left w:type="dxa" w:w="100"/>
              <w:bottom w:type="dxa" w:w="55"/>
              <w:right w:type="dxa" w:w="100"/>
            </w:tcMar>
          </w:tcPr>
          <w:p>
            <w:pPr>
              <w:jc w:val="center"/>
            </w:pPr>
            <w:r>
              <w:rPr>
                <w:b/>
                <w:bCs/>
                <w:color w:val="FFFFFF"/>
                <w:sz w:val="19"/>
                <w:szCs w:val="19"/>
              </w:rPr>
              <w:t xml:space="preserve">Bénéfice / an</w:t>
            </w:r>
          </w:p>
        </w:tc>
      </w:tr>
      <w:tr>
        <w:tc>
          <w:tcPr>
            <w:tcW w:type="dxa" w:w="3200"/>
            <w:tcMar>
              <w:top w:type="dxa" w:w="55"/>
              <w:left w:type="dxa" w:w="100"/>
              <w:bottom w:type="dxa" w:w="55"/>
              <w:right w:type="dxa" w:w="100"/>
            </w:tcMar>
          </w:tcPr>
          <w:p>
            <w:pPr>
              <w:jc w:val="left"/>
            </w:pPr>
            <w:r>
              <w:rPr>
                <w:b/>
                <w:bCs/>
                <w:color w:val="1B2A3A"/>
                <w:sz w:val="19"/>
                <w:szCs w:val="19"/>
              </w:rPr>
              <w:t xml:space="preserve">Pricing dynamique</w:t>
            </w:r>
          </w:p>
        </w:tc>
        <w:tc>
          <w:tcPr>
            <w:tcW w:type="dxa" w:w="3413"/>
            <w:tcMar>
              <w:top w:type="dxa" w:w="55"/>
              <w:left w:type="dxa" w:w="100"/>
              <w:bottom w:type="dxa" w:w="55"/>
              <w:right w:type="dxa" w:w="100"/>
            </w:tcMar>
          </w:tcPr>
          <w:p>
            <w:pPr>
              <w:jc w:val="center"/>
            </w:pPr>
            <w:r>
              <w:rPr>
                <w:b w:val="false"/>
                <w:bCs w:val="false"/>
                <w:color w:val="1B2A3A"/>
                <w:sz w:val="19"/>
                <w:szCs w:val="19"/>
              </w:rPr>
              <w:t xml:space="preserve">40 % du potentiel théorique (629 M)</w:t>
            </w:r>
          </w:p>
        </w:tc>
        <w:tc>
          <w:tcPr>
            <w:tcW w:type="dxa" w:w="2413"/>
            <w:tcMar>
              <w:top w:type="dxa" w:w="55"/>
              <w:left w:type="dxa" w:w="100"/>
              <w:bottom w:type="dxa" w:w="55"/>
              <w:right w:type="dxa" w:w="100"/>
            </w:tcMar>
          </w:tcPr>
          <w:p>
            <w:pPr>
              <w:jc w:val="center"/>
            </w:pPr>
            <w:r>
              <w:rPr>
                <w:b w:val="false"/>
                <w:bCs w:val="false"/>
                <w:color w:val="1B2A3A"/>
                <w:sz w:val="19"/>
                <w:szCs w:val="19"/>
              </w:rPr>
              <w:t xml:space="preserve">≈ 250 M FCFA</w:t>
            </w:r>
          </w:p>
        </w:tc>
      </w:tr>
      <w:tr>
        <w:tc>
          <w:tcPr>
            <w:tcW w:type="dxa" w:w="3200"/>
            <w:shd w:fill="F5F8FB" w:color="auto" w:val="clear"/>
            <w:tcMar>
              <w:top w:type="dxa" w:w="55"/>
              <w:left w:type="dxa" w:w="100"/>
              <w:bottom w:type="dxa" w:w="55"/>
              <w:right w:type="dxa" w:w="100"/>
            </w:tcMar>
          </w:tcPr>
          <w:p>
            <w:pPr>
              <w:jc w:val="left"/>
            </w:pPr>
            <w:r>
              <w:rPr>
                <w:b/>
                <w:bCs/>
                <w:color w:val="1B2A3A"/>
                <w:sz w:val="19"/>
                <w:szCs w:val="19"/>
              </w:rPr>
              <w:t xml:space="preserve">Recommandation</w:t>
            </w:r>
          </w:p>
        </w:tc>
        <w:tc>
          <w:tcPr>
            <w:tcW w:type="dxa" w:w="3413"/>
            <w:shd w:fill="F5F8FB" w:color="auto" w:val="clear"/>
            <w:tcMar>
              <w:top w:type="dxa" w:w="55"/>
              <w:left w:type="dxa" w:w="100"/>
              <w:bottom w:type="dxa" w:w="55"/>
              <w:right w:type="dxa" w:w="100"/>
            </w:tcMar>
          </w:tcPr>
          <w:p>
            <w:pPr>
              <w:jc w:val="center"/>
            </w:pPr>
            <w:r>
              <w:rPr>
                <w:b w:val="false"/>
                <w:bCs w:val="false"/>
                <w:color w:val="1B2A3A"/>
                <w:sz w:val="19"/>
                <w:szCs w:val="19"/>
              </w:rPr>
              <w:t xml:space="preserve">cross-sell +1,5 % du CA × marge</w:t>
            </w:r>
          </w:p>
        </w:tc>
        <w:tc>
          <w:tcPr>
            <w:tcW w:type="dxa" w:w="2413"/>
            <w:shd w:fill="F5F8FB" w:color="auto" w:val="clear"/>
            <w:tcMar>
              <w:top w:type="dxa" w:w="55"/>
              <w:left w:type="dxa" w:w="100"/>
              <w:bottom w:type="dxa" w:w="55"/>
              <w:right w:type="dxa" w:w="100"/>
            </w:tcMar>
          </w:tcPr>
          <w:p>
            <w:pPr>
              <w:jc w:val="center"/>
            </w:pPr>
            <w:r>
              <w:rPr>
                <w:b w:val="false"/>
                <w:bCs w:val="false"/>
                <w:color w:val="1B2A3A"/>
                <w:sz w:val="19"/>
                <w:szCs w:val="19"/>
              </w:rPr>
              <w:t xml:space="preserve">≈ 135 M FCFA</w:t>
            </w:r>
          </w:p>
        </w:tc>
      </w:tr>
      <w:tr>
        <w:tc>
          <w:tcPr>
            <w:tcW w:type="dxa" w:w="3200"/>
            <w:tcMar>
              <w:top w:type="dxa" w:w="55"/>
              <w:left w:type="dxa" w:w="100"/>
              <w:bottom w:type="dxa" w:w="55"/>
              <w:right w:type="dxa" w:w="100"/>
            </w:tcMar>
          </w:tcPr>
          <w:p>
            <w:pPr>
              <w:jc w:val="left"/>
            </w:pPr>
            <w:r>
              <w:rPr>
                <w:b/>
                <w:bCs/>
                <w:color w:val="1B2A3A"/>
                <w:sz w:val="19"/>
                <w:szCs w:val="19"/>
              </w:rPr>
              <w:t xml:space="preserve">Prévision → surstock</w:t>
            </w:r>
          </w:p>
        </w:tc>
        <w:tc>
          <w:tcPr>
            <w:tcW w:type="dxa" w:w="3413"/>
            <w:tcMar>
              <w:top w:type="dxa" w:w="55"/>
              <w:left w:type="dxa" w:w="100"/>
              <w:bottom w:type="dxa" w:w="55"/>
              <w:right w:type="dxa" w:w="100"/>
            </w:tcMar>
          </w:tcPr>
          <w:p>
            <w:pPr>
              <w:jc w:val="center"/>
            </w:pPr>
            <w:r>
              <w:rPr>
                <w:b w:val="false"/>
                <w:bCs w:val="false"/>
                <w:color w:val="1B2A3A"/>
                <w:sz w:val="19"/>
                <w:szCs w:val="19"/>
              </w:rPr>
              <w:t xml:space="preserve">coûts de possession (~15 %/an) sur le capital libéré</w:t>
            </w:r>
          </w:p>
        </w:tc>
        <w:tc>
          <w:tcPr>
            <w:tcW w:type="dxa" w:w="2413"/>
            <w:tcMar>
              <w:top w:type="dxa" w:w="55"/>
              <w:left w:type="dxa" w:w="100"/>
              <w:bottom w:type="dxa" w:w="55"/>
              <w:right w:type="dxa" w:w="100"/>
            </w:tcMar>
          </w:tcPr>
          <w:p>
            <w:pPr>
              <w:jc w:val="center"/>
            </w:pPr>
            <w:r>
              <w:rPr>
                <w:b w:val="false"/>
                <w:bCs w:val="false"/>
                <w:color w:val="1B2A3A"/>
                <w:sz w:val="19"/>
                <w:szCs w:val="19"/>
              </w:rPr>
              <w:t xml:space="preserve">≈ 250 M FCFA</w:t>
            </w:r>
          </w:p>
        </w:tc>
      </w:tr>
      <w:tr>
        <w:tc>
          <w:tcPr>
            <w:tcW w:type="dxa" w:w="3200"/>
            <w:shd w:fill="003B7A" w:color="auto" w:val="clear"/>
            <w:tcMar>
              <w:top w:type="dxa" w:w="55"/>
              <w:left w:type="dxa" w:w="100"/>
              <w:bottom w:type="dxa" w:w="55"/>
              <w:right w:type="dxa" w:w="100"/>
            </w:tcMar>
          </w:tcPr>
          <w:p>
            <w:pPr>
              <w:jc w:val="left"/>
            </w:pPr>
            <w:r>
              <w:rPr>
                <w:b/>
                <w:bCs/>
                <w:color w:val="FFFFFF"/>
                <w:sz w:val="19"/>
                <w:szCs w:val="19"/>
              </w:rPr>
              <w:t xml:space="preserve">TOTAL potentiel (régime établi)</w:t>
            </w:r>
          </w:p>
        </w:tc>
        <w:tc>
          <w:tcPr>
            <w:tcW w:type="dxa" w:w="3413"/>
            <w:shd w:fill="003B7A" w:color="auto" w:val="clear"/>
            <w:tcMar>
              <w:top w:type="dxa" w:w="55"/>
              <w:left w:type="dxa" w:w="100"/>
              <w:bottom w:type="dxa" w:w="55"/>
              <w:right w:type="dxa" w:w="100"/>
            </w:tcMar>
          </w:tcPr>
          <w:p>
            <w:pPr>
              <w:jc w:val="left"/>
            </w:pPr>
            <w:r>
              <w:rPr>
                <w:b w:val="false"/>
                <w:bCs w:val="false"/>
                <w:color w:val="FFFFFF"/>
                <w:sz w:val="19"/>
                <w:szCs w:val="19"/>
              </w:rPr>
              <w:t xml:space="preserve"/>
            </w:r>
          </w:p>
        </w:tc>
        <w:tc>
          <w:tcPr>
            <w:tcW w:type="dxa" w:w="2413"/>
            <w:shd w:fill="003B7A" w:color="auto" w:val="clear"/>
            <w:tcMar>
              <w:top w:type="dxa" w:w="55"/>
              <w:left w:type="dxa" w:w="100"/>
              <w:bottom w:type="dxa" w:w="55"/>
              <w:right w:type="dxa" w:w="100"/>
            </w:tcMar>
          </w:tcPr>
          <w:p>
            <w:pPr>
              <w:jc w:val="center"/>
            </w:pPr>
            <w:r>
              <w:rPr>
                <w:b w:val="false"/>
                <w:bCs w:val="false"/>
                <w:color w:val="FFFFFF"/>
                <w:sz w:val="19"/>
                <w:szCs w:val="19"/>
              </w:rPr>
              <w:t xml:space="preserve">≈ 635 M FCFA</w:t>
            </w:r>
          </w:p>
        </w:tc>
      </w:tr>
    </w:tbl>
    <w:p>
      <w:pPr>
        <w:spacing w:after="60"/>
      </w:pPr>
    </w:p>
    <w:p>
      <w:pPr>
        <w:spacing w:after="120"/>
      </w:pPr>
      <w:r>
        <w:rPr>
          <w:color w:val="1B2A3A"/>
          <w:sz w:val="22"/>
          <w:szCs w:val="22"/>
        </w:rPr>
        <w:t xml:space="preserve">Face à un investissement initial d'environ 27 M FCFA et un coût récurrent d'environ 36 M FCFA/an, le retour sur investissement est très favorable (de l'ordre de 1 300 % sur 3 ans, payback en quelques mois). La réduction du surstock libère par ailleurs ~1,72 Md FCFA de capital immobilisé (gain ponctuel).</w:t>
      </w:r>
    </w:p>
    <w:p>
      <w:pPr>
        <w:pBdr>
          <w:left w:val="single" w:color="FF7A00" w:sz="18" w:space="6"/>
        </w:pBdr>
        <w:shd w:fill="EAF1F9" w:color="auto" w:val="clear"/>
        <w:spacing w:after="130" w:before="60"/>
      </w:pPr>
      <w:r>
        <w:rPr>
          <w:b/>
          <w:bCs/>
          <w:color w:val="FF7A00"/>
          <w:sz w:val="22"/>
          <w:szCs w:val="22"/>
        </w:rPr>
        <w:t xml:space="preserve">Lecture prudente : </w:t>
      </w:r>
      <w:r>
        <w:rPr>
          <w:color w:val="1B2A3A"/>
          <w:sz w:val="22"/>
          <w:szCs w:val="22"/>
        </w:rPr>
        <w:t xml:space="preserve">ces montants représentent un potentiel en régime établi, atteint progressivement — non un gain automatique dès la première année. Même en scénario très prudent, le projet reste largement rentable.</w:t>
      </w:r>
    </w:p>
    <w:p>
      <w:pPr>
        <w:pStyle w:val="Heading1"/>
        <w:pBdr>
          <w:bottom w:val="single" w:color="FF7A00" w:sz="12" w:space="4"/>
        </w:pBdr>
        <w:spacing w:after="130" w:before="300"/>
        <w:outlineLvl w:val="0"/>
      </w:pPr>
      <w:r>
        <w:rPr>
          <w:b/>
          <w:bCs/>
          <w:color w:val="003B7A"/>
          <w:sz w:val="28"/>
          <w:szCs w:val="28"/>
        </w:rPr>
        <w:t xml:space="preserve">9. Risques</w:t>
      </w:r>
    </w:p>
    <w:p>
      <w:pPr>
        <w:spacing w:after="120"/>
      </w:pPr>
      <w:r>
        <w:rPr>
          <w:color w:val="1B2A3A"/>
          <w:sz w:val="22"/>
          <w:szCs w:val="22"/>
        </w:rPr>
        <w:t xml:space="preserve">Les principaux risques (détaillés dans le registre des risques) et leurs parades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3526"/>
      </w:tblGrid>
      <w:tr>
        <w:trPr>
          <w:tblHeader/>
        </w:trPr>
        <w:tc>
          <w:tcPr>
            <w:tcW w:type="dxa" w:w="3600"/>
            <w:shd w:fill="003B7A" w:color="auto" w:val="clear"/>
            <w:tcMar>
              <w:top w:type="dxa" w:w="55"/>
              <w:left w:type="dxa" w:w="100"/>
              <w:bottom w:type="dxa" w:w="55"/>
              <w:right w:type="dxa" w:w="100"/>
            </w:tcMar>
          </w:tcPr>
          <w:p>
            <w:pPr>
              <w:jc w:val="left"/>
            </w:pPr>
            <w:r>
              <w:rPr>
                <w:b/>
                <w:bCs/>
                <w:color w:val="FFFFFF"/>
                <w:sz w:val="19"/>
                <w:szCs w:val="19"/>
              </w:rPr>
              <w:t xml:space="preserve">Risque</w:t>
            </w:r>
          </w:p>
        </w:tc>
        <w:tc>
          <w:tcPr>
            <w:tcW w:type="dxa" w:w="1900"/>
            <w:shd w:fill="003B7A" w:color="auto" w:val="clear"/>
            <w:tcMar>
              <w:top w:type="dxa" w:w="55"/>
              <w:left w:type="dxa" w:w="100"/>
              <w:bottom w:type="dxa" w:w="55"/>
              <w:right w:type="dxa" w:w="100"/>
            </w:tcMar>
          </w:tcPr>
          <w:p>
            <w:pPr>
              <w:jc w:val="center"/>
            </w:pPr>
            <w:r>
              <w:rPr>
                <w:b/>
                <w:bCs/>
                <w:color w:val="FFFFFF"/>
                <w:sz w:val="19"/>
                <w:szCs w:val="19"/>
              </w:rPr>
              <w:t xml:space="preserve">Criticité</w:t>
            </w:r>
          </w:p>
        </w:tc>
        <w:tc>
          <w:tcPr>
            <w:tcW w:type="dxa" w:w="3526"/>
            <w:shd w:fill="003B7A" w:color="auto" w:val="clear"/>
            <w:tcMar>
              <w:top w:type="dxa" w:w="55"/>
              <w:left w:type="dxa" w:w="100"/>
              <w:bottom w:type="dxa" w:w="55"/>
              <w:right w:type="dxa" w:w="100"/>
            </w:tcMar>
          </w:tcPr>
          <w:p>
            <w:pPr>
              <w:jc w:val="center"/>
            </w:pPr>
            <w:r>
              <w:rPr>
                <w:b/>
                <w:bCs/>
                <w:color w:val="FFFFFF"/>
                <w:sz w:val="19"/>
                <w:szCs w:val="19"/>
              </w:rPr>
              <w:t xml:space="preserve">Parade</w:t>
            </w:r>
          </w:p>
        </w:tc>
      </w:tr>
      <w:tr>
        <w:tc>
          <w:tcPr>
            <w:tcW w:type="dxa" w:w="3600"/>
            <w:tcMar>
              <w:top w:type="dxa" w:w="55"/>
              <w:left w:type="dxa" w:w="100"/>
              <w:bottom w:type="dxa" w:w="55"/>
              <w:right w:type="dxa" w:w="100"/>
            </w:tcMar>
          </w:tcPr>
          <w:p>
            <w:pPr>
              <w:jc w:val="left"/>
            </w:pPr>
            <w:r>
              <w:rPr>
                <w:color w:val="1B2A3A"/>
                <w:sz w:val="19"/>
                <w:szCs w:val="19"/>
              </w:rPr>
              <w:t xml:space="preserve">Retard de planning (sprint court)</w:t>
            </w:r>
          </w:p>
        </w:tc>
        <w:tc>
          <w:tcPr>
            <w:tcW w:type="dxa" w:w="1900"/>
            <w:tcMar>
              <w:top w:type="dxa" w:w="55"/>
              <w:left w:type="dxa" w:w="100"/>
              <w:bottom w:type="dxa" w:w="55"/>
              <w:right w:type="dxa" w:w="100"/>
            </w:tcMar>
          </w:tcPr>
          <w:p>
            <w:pPr>
              <w:jc w:val="center"/>
            </w:pPr>
            <w:r>
              <w:rPr>
                <w:color w:val="1B2A3A"/>
                <w:sz w:val="19"/>
                <w:szCs w:val="19"/>
              </w:rPr>
              <w:t xml:space="preserve">Critique</w:t>
            </w:r>
          </w:p>
        </w:tc>
        <w:tc>
          <w:tcPr>
            <w:tcW w:type="dxa" w:w="3526"/>
            <w:tcMar>
              <w:top w:type="dxa" w:w="55"/>
              <w:left w:type="dxa" w:w="100"/>
              <w:bottom w:type="dxa" w:w="55"/>
              <w:right w:type="dxa" w:w="100"/>
            </w:tcMar>
          </w:tcPr>
          <w:p>
            <w:pPr>
              <w:jc w:val="center"/>
            </w:pPr>
            <w:r>
              <w:rPr>
                <w:color w:val="1B2A3A"/>
                <w:sz w:val="19"/>
                <w:szCs w:val="19"/>
              </w:rPr>
              <w:t xml:space="preserve">WBS détaillé, jalons quotidiens, marges</w:t>
            </w:r>
          </w:p>
        </w:tc>
      </w:tr>
      <w:tr>
        <w:tc>
          <w:tcPr>
            <w:tcW w:type="dxa" w:w="3600"/>
            <w:shd w:fill="F5F8FB" w:color="auto" w:val="clear"/>
            <w:tcMar>
              <w:top w:type="dxa" w:w="55"/>
              <w:left w:type="dxa" w:w="100"/>
              <w:bottom w:type="dxa" w:w="55"/>
              <w:right w:type="dxa" w:w="100"/>
            </w:tcMar>
          </w:tcPr>
          <w:p>
            <w:pPr>
              <w:jc w:val="left"/>
            </w:pPr>
            <w:r>
              <w:rPr>
                <w:color w:val="1B2A3A"/>
                <w:sz w:val="19"/>
                <w:szCs w:val="19"/>
              </w:rPr>
              <w:t xml:space="preserve">Blocage installation Kafka / Airflow</w:t>
            </w:r>
          </w:p>
        </w:tc>
        <w:tc>
          <w:tcPr>
            <w:tcW w:type="dxa" w:w="1900"/>
            <w:shd w:fill="F5F8FB" w:color="auto" w:val="clear"/>
            <w:tcMar>
              <w:top w:type="dxa" w:w="55"/>
              <w:left w:type="dxa" w:w="100"/>
              <w:bottom w:type="dxa" w:w="55"/>
              <w:right w:type="dxa" w:w="100"/>
            </w:tcMar>
          </w:tcPr>
          <w:p>
            <w:pPr>
              <w:jc w:val="center"/>
            </w:pPr>
            <w:r>
              <w:rPr>
                <w:color w:val="1B2A3A"/>
                <w:sz w:val="19"/>
                <w:szCs w:val="19"/>
              </w:rPr>
              <w:t xml:space="preserve">Critique</w:t>
            </w:r>
          </w:p>
        </w:tc>
        <w:tc>
          <w:tcPr>
            <w:tcW w:type="dxa" w:w="3526"/>
            <w:shd w:fill="F5F8FB" w:color="auto" w:val="clear"/>
            <w:tcMar>
              <w:top w:type="dxa" w:w="55"/>
              <w:left w:type="dxa" w:w="100"/>
              <w:bottom w:type="dxa" w:w="55"/>
              <w:right w:type="dxa" w:w="100"/>
            </w:tcMar>
          </w:tcPr>
          <w:p>
            <w:pPr>
              <w:jc w:val="center"/>
            </w:pPr>
            <w:r>
              <w:rPr>
                <w:color w:val="1B2A3A"/>
                <w:sz w:val="19"/>
                <w:szCs w:val="19"/>
              </w:rPr>
              <w:t xml:space="preserve">Socle de secours local (Spark + DuckDB)</w:t>
            </w:r>
          </w:p>
        </w:tc>
      </w:tr>
      <w:tr>
        <w:tc>
          <w:tcPr>
            <w:tcW w:type="dxa" w:w="3600"/>
            <w:tcMar>
              <w:top w:type="dxa" w:w="55"/>
              <w:left w:type="dxa" w:w="100"/>
              <w:bottom w:type="dxa" w:w="55"/>
              <w:right w:type="dxa" w:w="100"/>
            </w:tcMar>
          </w:tcPr>
          <w:p>
            <w:pPr>
              <w:jc w:val="left"/>
            </w:pPr>
            <w:r>
              <w:rPr>
                <w:color w:val="1B2A3A"/>
                <w:sz w:val="19"/>
                <w:szCs w:val="19"/>
              </w:rPr>
              <w:t xml:space="preserve">Données synthétiques peu réalistes</w:t>
            </w:r>
          </w:p>
        </w:tc>
        <w:tc>
          <w:tcPr>
            <w:tcW w:type="dxa" w:w="1900"/>
            <w:tcMar>
              <w:top w:type="dxa" w:w="55"/>
              <w:left w:type="dxa" w:w="100"/>
              <w:bottom w:type="dxa" w:w="55"/>
              <w:right w:type="dxa" w:w="100"/>
            </w:tcMar>
          </w:tcPr>
          <w:p>
            <w:pPr>
              <w:jc w:val="center"/>
            </w:pPr>
            <w:r>
              <w:rPr>
                <w:color w:val="1B2A3A"/>
                <w:sz w:val="19"/>
                <w:szCs w:val="19"/>
              </w:rPr>
              <w:t xml:space="preserve">Critique</w:t>
            </w:r>
          </w:p>
        </w:tc>
        <w:tc>
          <w:tcPr>
            <w:tcW w:type="dxa" w:w="3526"/>
            <w:tcMar>
              <w:top w:type="dxa" w:w="55"/>
              <w:left w:type="dxa" w:w="100"/>
              <w:bottom w:type="dxa" w:w="55"/>
              <w:right w:type="dxa" w:w="100"/>
            </w:tcMar>
          </w:tcPr>
          <w:p>
            <w:pPr>
              <w:jc w:val="center"/>
            </w:pPr>
            <w:r>
              <w:rPr>
                <w:color w:val="1B2A3A"/>
                <w:sz w:val="19"/>
                <w:szCs w:val="19"/>
              </w:rPr>
              <w:t xml:space="preserve">Règles réalistes + contrôles qualité</w:t>
            </w:r>
          </w:p>
        </w:tc>
      </w:tr>
      <w:tr>
        <w:tc>
          <w:tcPr>
            <w:tcW w:type="dxa" w:w="3600"/>
            <w:shd w:fill="F5F8FB" w:color="auto" w:val="clear"/>
            <w:tcMar>
              <w:top w:type="dxa" w:w="55"/>
              <w:left w:type="dxa" w:w="100"/>
              <w:bottom w:type="dxa" w:w="55"/>
              <w:right w:type="dxa" w:w="100"/>
            </w:tcMar>
          </w:tcPr>
          <w:p>
            <w:pPr>
              <w:jc w:val="left"/>
            </w:pPr>
            <w:r>
              <w:rPr>
                <w:color w:val="1B2A3A"/>
                <w:sz w:val="19"/>
                <w:szCs w:val="19"/>
              </w:rPr>
              <w:t xml:space="preserve">Dérive des modèles (data drift)</w:t>
            </w:r>
          </w:p>
        </w:tc>
        <w:tc>
          <w:tcPr>
            <w:tcW w:type="dxa" w:w="1900"/>
            <w:shd w:fill="F5F8FB" w:color="auto" w:val="clear"/>
            <w:tcMar>
              <w:top w:type="dxa" w:w="55"/>
              <w:left w:type="dxa" w:w="100"/>
              <w:bottom w:type="dxa" w:w="55"/>
              <w:right w:type="dxa" w:w="100"/>
            </w:tcMar>
          </w:tcPr>
          <w:p>
            <w:pPr>
              <w:jc w:val="center"/>
            </w:pPr>
            <w:r>
              <w:rPr>
                <w:color w:val="1B2A3A"/>
                <w:sz w:val="19"/>
                <w:szCs w:val="19"/>
              </w:rPr>
              <w:t xml:space="preserve">Modéré</w:t>
            </w:r>
          </w:p>
        </w:tc>
        <w:tc>
          <w:tcPr>
            <w:tcW w:type="dxa" w:w="3526"/>
            <w:shd w:fill="F5F8FB" w:color="auto" w:val="clear"/>
            <w:tcMar>
              <w:top w:type="dxa" w:w="55"/>
              <w:left w:type="dxa" w:w="100"/>
              <w:bottom w:type="dxa" w:w="55"/>
              <w:right w:type="dxa" w:w="100"/>
            </w:tcMar>
          </w:tcPr>
          <w:p>
            <w:pPr>
              <w:jc w:val="center"/>
            </w:pPr>
            <w:r>
              <w:rPr>
                <w:color w:val="1B2A3A"/>
                <w:sz w:val="19"/>
                <w:szCs w:val="19"/>
              </w:rPr>
              <w:t xml:space="preserve">Monitoring PSI + ré-entraînement (MLOps)</w:t>
            </w:r>
          </w:p>
        </w:tc>
      </w:tr>
      <w:tr>
        <w:tc>
          <w:tcPr>
            <w:tcW w:type="dxa" w:w="3600"/>
            <w:tcMar>
              <w:top w:type="dxa" w:w="55"/>
              <w:left w:type="dxa" w:w="100"/>
              <w:bottom w:type="dxa" w:w="55"/>
              <w:right w:type="dxa" w:w="100"/>
            </w:tcMar>
          </w:tcPr>
          <w:p>
            <w:pPr>
              <w:jc w:val="left"/>
            </w:pPr>
            <w:r>
              <w:rPr>
                <w:color w:val="1B2A3A"/>
                <w:sz w:val="19"/>
                <w:szCs w:val="19"/>
              </w:rPr>
              <w:t xml:space="preserve">Non-conformité RGPD</w:t>
            </w:r>
          </w:p>
        </w:tc>
        <w:tc>
          <w:tcPr>
            <w:tcW w:type="dxa" w:w="1900"/>
            <w:tcMar>
              <w:top w:type="dxa" w:w="55"/>
              <w:left w:type="dxa" w:w="100"/>
              <w:bottom w:type="dxa" w:w="55"/>
              <w:right w:type="dxa" w:w="100"/>
            </w:tcMar>
          </w:tcPr>
          <w:p>
            <w:pPr>
              <w:jc w:val="center"/>
            </w:pPr>
            <w:r>
              <w:rPr>
                <w:color w:val="1B2A3A"/>
                <w:sz w:val="19"/>
                <w:szCs w:val="19"/>
              </w:rPr>
              <w:t xml:space="preserve">Faible</w:t>
            </w:r>
          </w:p>
        </w:tc>
        <w:tc>
          <w:tcPr>
            <w:tcW w:type="dxa" w:w="3526"/>
            <w:tcMar>
              <w:top w:type="dxa" w:w="55"/>
              <w:left w:type="dxa" w:w="100"/>
              <w:bottom w:type="dxa" w:w="55"/>
              <w:right w:type="dxa" w:w="100"/>
            </w:tcMar>
          </w:tcPr>
          <w:p>
            <w:pPr>
              <w:jc w:val="center"/>
            </w:pPr>
            <w:r>
              <w:rPr>
                <w:color w:val="1B2A3A"/>
                <w:sz w:val="19"/>
                <w:szCs w:val="19"/>
              </w:rPr>
              <w:t xml:space="preserve">Données synthétiques + note RGPD dédiée</w:t>
            </w:r>
          </w:p>
        </w:tc>
      </w:tr>
    </w:tbl>
    <w:p>
      <w:pPr>
        <w:pStyle w:val="Heading1"/>
        <w:pBdr>
          <w:bottom w:val="single" w:color="FF7A00" w:sz="12" w:space="4"/>
        </w:pBdr>
        <w:spacing w:after="130" w:before="300"/>
        <w:outlineLvl w:val="0"/>
      </w:pPr>
      <w:r>
        <w:rPr>
          <w:b/>
          <w:bCs/>
          <w:color w:val="003B7A"/>
          <w:sz w:val="28"/>
          <w:szCs w:val="28"/>
        </w:rPr>
        <w:t xml:space="preserve">10. Conformité RGPD</w:t>
      </w:r>
    </w:p>
    <w:p>
      <w:pPr>
        <w:spacing w:after="120"/>
      </w:pPr>
      <w:r>
        <w:rPr>
          <w:color w:val="1B2A3A"/>
          <w:sz w:val="22"/>
          <w:szCs w:val="22"/>
        </w:rPr>
        <w:t xml:space="preserve">Le projet utilise exclusivement des données synthétiques : le risque RGPD réel est donc nul. La démarche de conformité est néanmoins documentée « comme si » le système était déployé, pour démontrer une conformité by design :</w:t>
      </w:r>
    </w:p>
    <w:p>
      <w:pPr>
        <w:pStyle w:val="ListParagraph"/>
        <w:numPr>
          <w:ilvl w:val="0"/>
          <w:numId w:val="1"/>
        </w:numPr>
        <w:spacing w:after="60"/>
      </w:pPr>
      <w:r>
        <w:rPr>
          <w:b/>
          <w:bCs/>
          <w:color w:val="003B7A"/>
          <w:sz w:val="22"/>
          <w:szCs w:val="22"/>
        </w:rPr>
        <w:t xml:space="preserve">Principes — </w:t>
      </w:r>
      <w:r>
        <w:rPr>
          <w:color w:val="1B2A3A"/>
          <w:sz w:val="22"/>
          <w:szCs w:val="22"/>
        </w:rPr>
        <w:t xml:space="preserve">licéité, finalité, minimisation, consentement, limitation de conservation.</w:t>
      </w:r>
    </w:p>
    <w:p>
      <w:pPr>
        <w:pStyle w:val="ListParagraph"/>
        <w:numPr>
          <w:ilvl w:val="0"/>
          <w:numId w:val="1"/>
        </w:numPr>
        <w:spacing w:after="60"/>
      </w:pPr>
      <w:r>
        <w:rPr>
          <w:b/>
          <w:bCs/>
          <w:color w:val="003B7A"/>
          <w:sz w:val="22"/>
          <w:szCs w:val="22"/>
        </w:rPr>
        <w:t xml:space="preserve">Droits garantis — </w:t>
      </w:r>
      <w:r>
        <w:rPr>
          <w:color w:val="1B2A3A"/>
          <w:sz w:val="22"/>
          <w:szCs w:val="22"/>
        </w:rPr>
        <w:t xml:space="preserve">accès, rectification, effacement, portabilité, opposition au profilage.</w:t>
      </w:r>
    </w:p>
    <w:p>
      <w:pPr>
        <w:pStyle w:val="ListParagraph"/>
        <w:numPr>
          <w:ilvl w:val="0"/>
          <w:numId w:val="1"/>
        </w:numPr>
        <w:spacing w:after="60"/>
      </w:pPr>
      <w:r>
        <w:rPr>
          <w:b/>
          <w:bCs/>
          <w:color w:val="003B7A"/>
          <w:sz w:val="22"/>
          <w:szCs w:val="22"/>
        </w:rPr>
        <w:t xml:space="preserve">Mesures techniques — </w:t>
      </w:r>
      <w:r>
        <w:rPr>
          <w:color w:val="1B2A3A"/>
          <w:sz w:val="22"/>
          <w:szCs w:val="22"/>
        </w:rPr>
        <w:t xml:space="preserve">chiffrement (AES-256 / TLS 1.3), pseudonymisation, contrôle d'accès (RBAC), journalisation.</w:t>
      </w:r>
    </w:p>
    <w:p>
      <w:pPr>
        <w:pStyle w:val="ListParagraph"/>
        <w:numPr>
          <w:ilvl w:val="0"/>
          <w:numId w:val="1"/>
        </w:numPr>
        <w:spacing w:after="60"/>
      </w:pPr>
      <w:r>
        <w:rPr>
          <w:b/>
          <w:bCs/>
          <w:color w:val="003B7A"/>
          <w:sz w:val="22"/>
          <w:szCs w:val="22"/>
        </w:rPr>
        <w:t xml:space="preserve">Vigilance — </w:t>
      </w:r>
      <w:r>
        <w:rPr>
          <w:color w:val="1B2A3A"/>
          <w:sz w:val="22"/>
          <w:szCs w:val="22"/>
        </w:rPr>
        <w:t xml:space="preserve">les modèles de recommandation et de tarification personnalisée relèvent du profilage (article 22) : supervision humaine, contrôle des biais, explicabilité.</w:t>
      </w:r>
    </w:p>
    <w:p>
      <w:pPr>
        <w:pStyle w:val="Heading1"/>
        <w:pBdr>
          <w:bottom w:val="single" w:color="FF7A00" w:sz="12" w:space="4"/>
        </w:pBdr>
        <w:spacing w:after="130" w:before="300"/>
        <w:outlineLvl w:val="0"/>
      </w:pPr>
      <w:r>
        <w:rPr>
          <w:b/>
          <w:bCs/>
          <w:color w:val="003B7A"/>
          <w:sz w:val="28"/>
          <w:szCs w:val="28"/>
        </w:rPr>
        <w:t xml:space="preserve">11. Plan de déploiement</w:t>
      </w:r>
    </w:p>
    <w:p>
      <w:pPr>
        <w:spacing w:after="120"/>
      </w:pPr>
      <w:r>
        <w:rPr>
          <w:color w:val="1B2A3A"/>
          <w:sz w:val="22"/>
          <w:szCs w:val="22"/>
        </w:rPr>
        <w:t xml:space="preserve">Un déploiement progressif est recommandé pour sécuriser la valeur et maîtriser le risque :</w:t>
      </w:r>
    </w:p>
    <w:p>
      <w:pPr>
        <w:pStyle w:val="ListParagraph"/>
        <w:numPr>
          <w:ilvl w:val="0"/>
          <w:numId w:val="1"/>
        </w:numPr>
        <w:spacing w:after="60"/>
      </w:pPr>
      <w:r>
        <w:rPr>
          <w:b/>
          <w:bCs/>
          <w:color w:val="003B7A"/>
          <w:sz w:val="22"/>
          <w:szCs w:val="22"/>
        </w:rPr>
        <w:t xml:space="preserve">Phase 1 — </w:t>
      </w:r>
      <w:r>
        <w:rPr>
          <w:color w:val="1B2A3A"/>
          <w:sz w:val="22"/>
          <w:szCs w:val="22"/>
        </w:rPr>
        <w:t xml:space="preserve">activer le pricing dynamique (bénéfice le plus solide et le plus rapide), catégorie par catégorie.</w:t>
      </w:r>
    </w:p>
    <w:p>
      <w:pPr>
        <w:pStyle w:val="ListParagraph"/>
        <w:numPr>
          <w:ilvl w:val="0"/>
          <w:numId w:val="1"/>
        </w:numPr>
        <w:spacing w:after="60"/>
      </w:pPr>
      <w:r>
        <w:rPr>
          <w:b/>
          <w:bCs/>
          <w:color w:val="003B7A"/>
          <w:sz w:val="22"/>
          <w:szCs w:val="22"/>
        </w:rPr>
        <w:t xml:space="preserve">Phase 2 — </w:t>
      </w:r>
      <w:r>
        <w:rPr>
          <w:color w:val="1B2A3A"/>
          <w:sz w:val="22"/>
          <w:szCs w:val="22"/>
        </w:rPr>
        <w:t xml:space="preserve">brancher la prévision pour piloter les stocks et réduire le surstock (capital immobilisé important).</w:t>
      </w:r>
    </w:p>
    <w:p>
      <w:pPr>
        <w:pStyle w:val="ListParagraph"/>
        <w:numPr>
          <w:ilvl w:val="0"/>
          <w:numId w:val="1"/>
        </w:numPr>
        <w:spacing w:after="60"/>
      </w:pPr>
      <w:r>
        <w:rPr>
          <w:b/>
          <w:bCs/>
          <w:color w:val="003B7A"/>
          <w:sz w:val="22"/>
          <w:szCs w:val="22"/>
        </w:rPr>
        <w:t xml:space="preserve">Phase 3 — </w:t>
      </w:r>
      <w:r>
        <w:rPr>
          <w:color w:val="1B2A3A"/>
          <w:sz w:val="22"/>
          <w:szCs w:val="22"/>
        </w:rPr>
        <w:t xml:space="preserve">généraliser la recommandation après validation par A/B test.</w:t>
      </w:r>
    </w:p>
    <w:p>
      <w:pPr>
        <w:pStyle w:val="ListParagraph"/>
        <w:numPr>
          <w:ilvl w:val="0"/>
          <w:numId w:val="1"/>
        </w:numPr>
        <w:spacing w:after="60"/>
      </w:pPr>
      <w:r>
        <w:rPr>
          <w:b/>
          <w:bCs/>
          <w:color w:val="003B7A"/>
          <w:sz w:val="22"/>
          <w:szCs w:val="22"/>
        </w:rPr>
        <w:t xml:space="preserve">Industrialisation — </w:t>
      </w:r>
      <w:r>
        <w:rPr>
          <w:color w:val="1B2A3A"/>
          <w:sz w:val="22"/>
          <w:szCs w:val="22"/>
        </w:rPr>
        <w:t xml:space="preserve">passage à l'échelle de production (stockage objet type MinIO/S3, base PostgreSQL, orchestration cloud) et monitoring MLOps en continu.</w:t>
      </w:r>
    </w:p>
    <w:p>
      <w:pPr>
        <w:pStyle w:val="Heading1"/>
        <w:pBdr>
          <w:bottom w:val="single" w:color="FF7A00" w:sz="12" w:space="4"/>
        </w:pBdr>
        <w:spacing w:after="130" w:before="300"/>
        <w:outlineLvl w:val="0"/>
      </w:pPr>
      <w:r>
        <w:rPr>
          <w:b/>
          <w:bCs/>
          <w:color w:val="003B7A"/>
          <w:sz w:val="28"/>
          <w:szCs w:val="28"/>
        </w:rPr>
        <w:t xml:space="preserve">12. Conclusion et recommandations</w:t>
      </w:r>
    </w:p>
    <w:p>
      <w:pPr>
        <w:spacing w:after="120"/>
      </w:pPr>
      <w:r>
        <w:rPr>
          <w:color w:val="1B2A3A"/>
          <w:sz w:val="22"/>
          <w:szCs w:val="22"/>
        </w:rPr>
        <w:t xml:space="preserve">Le projet démontre, de bout en bout, la valeur d'une approche data-driven pour Teranga Market : une chaîne fonctionnelle des données brutes jusqu'à des décisions chiffrées (prix, stock, recommandations), trois modèles évalués face à des baselines, et une mise en production (API, dashboard, MLOps) opérationnelle.</w:t>
      </w:r>
    </w:p>
    <w:p>
      <w:pPr>
        <w:spacing w:after="120"/>
      </w:pPr>
      <w:r>
        <w:rPr>
          <w:b/>
          <w:bCs/>
          <w:color w:val="1B2A3A"/>
          <w:sz w:val="22"/>
          <w:szCs w:val="22"/>
        </w:rPr>
        <w:t xml:space="preserve">La création de valeur est significative et robuste aux hypothèses. Nous recommandons de lancer le déploiement progressif décrit ci-dessus.</w:t>
      </w:r>
    </w:p>
    <w:p>
      <w:pPr>
        <w:spacing w:after="120"/>
      </w:pPr>
      <w:r>
        <w:rPr>
          <w:color w:val="1B2A3A"/>
          <w:sz w:val="22"/>
          <w:szCs w:val="22"/>
        </w:rPr>
        <w:t xml:space="preserve">Perspectives : A/B testing pour valider la recommandation, automatisation du pricing en temps réel, et modélisation avancée (CLTV, churn) pour approfondir la fidélisation.</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003B7A"/>
      <w:sz w:val="28"/>
      <w:szCs w:val="28"/>
    </w:rPr>
  </w:style>
  <w:style w:type="paragraph" w:styleId="Heading2">
    <w:name w:val="Heading 2"/>
    <w:basedOn w:val="Normal"/>
    <w:next w:val="Normal"/>
    <w:qFormat/>
    <w:pPr>
      <w:outlineLvl w:val="1"/>
    </w:pPr>
    <w:rPr>
      <w:b/>
      <w:bCs/>
      <w:color w:val="FF7A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d4ee4af0a30584fd1122a9b45d72f35adfe6e4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Final — Teranga Market</dc:title>
  <dc:creator>Teranga Market</dc:creator>
  <cp:lastModifiedBy>Un-named</cp:lastModifiedBy>
  <cp:revision>1</cp:revision>
  <dcterms:created xsi:type="dcterms:W3CDTF">2026-08-15T23:18:51.244Z</dcterms:created>
  <dcterms:modified xsi:type="dcterms:W3CDTF">2026-08-15T23:18:51.245Z</dcterms:modified>
</cp:coreProperties>
</file>

<file path=docProps/custom.xml><?xml version="1.0" encoding="utf-8"?>
<Properties xmlns="http://schemas.openxmlformats.org/officeDocument/2006/custom-properties" xmlns:vt="http://schemas.openxmlformats.org/officeDocument/2006/docPropsVTypes"/>
</file>