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80000" cy="2520000"/>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780000" cy="2520000"/>
                    </a:xfrm>
                    <a:prstGeom prst="rect"/>
                  </pic:spPr>
                </pic:pic>
              </a:graphicData>
            </a:graphic>
          </wp:inline>
        </w:drawing>
      </w:r>
    </w:p>
    <w:p>
      <w:pPr>
        <w:jc w:val="center"/>
      </w:pPr>
      <w:r>
        <w:rPr>
          <w:b/>
          <w:color w:val="0F2A43"/>
          <w:sz w:val="52"/>
        </w:rPr>
        <w:t>DIAGRAMME DE GANTT</w:t>
      </w:r>
    </w:p>
    <w:p>
      <w:pPr>
        <w:jc w:val="center"/>
      </w:pPr>
      <w:r>
        <w:rPr>
          <w:i/>
          <w:color w:val="555555"/>
          <w:sz w:val="24"/>
        </w:rPr>
        <w:t>Planning réel — du 08 au 16 août 2026 (9 jours, dont une pause le 10/08) — Projet Data-Driven Pricing, Teranga Market</w:t>
      </w:r>
    </w:p>
    <w:p>
      <w:pPr>
        <w:jc w:val="center"/>
        <w:pBdr>
          <w:bottom w:val="single" w:sz="18" w:space="4" w:color="127A8A"/>
        </w:pBdr>
      </w:pPr>
    </w:p>
    <w:p>
      <w:pPr>
        <w:spacing w:after="120"/>
      </w:pPr>
      <w:r>
        <w:rPr>
          <w:b/>
          <w:color w:val="0F2A43"/>
          <w:sz w:val="20"/>
        </w:rPr>
        <w:t xml:space="preserve">Responsables :    P1  </w:t>
      </w:r>
      <w:r>
        <w:rPr>
          <w:sz w:val="20"/>
        </w:rPr>
        <w:t xml:space="preserve">   </w:t>
      </w:r>
      <w:r>
        <w:rPr>
          <w:b/>
          <w:color w:val="127A8A"/>
          <w:sz w:val="20"/>
        </w:rPr>
        <w:t xml:space="preserve">  P2  </w:t>
      </w:r>
      <w:r>
        <w:rPr>
          <w:sz w:val="20"/>
        </w:rPr>
        <w:t xml:space="preserve">   </w:t>
      </w:r>
      <w:r>
        <w:rPr>
          <w:b/>
          <w:color w:val="E67E22"/>
          <w:sz w:val="20"/>
        </w:rPr>
        <w:t xml:space="preserve">  P3  </w:t>
      </w:r>
      <w:r>
        <w:rPr>
          <w:sz w:val="20"/>
        </w:rPr>
        <w:t xml:space="preserve">   </w:t>
      </w:r>
      <w:r>
        <w:rPr>
          <w:b/>
          <w:color w:val="8E44AD"/>
          <w:sz w:val="20"/>
        </w:rPr>
        <w:t xml:space="preserve">  P4  </w:t>
      </w:r>
      <w:r>
        <w:rPr>
          <w:sz w:val="20"/>
        </w:rPr>
        <w:t xml:space="preserve">   </w:t>
      </w:r>
      <w:r>
        <w:rPr>
          <w:b/>
          <w:color w:val="27AE60"/>
          <w:sz w:val="20"/>
        </w:rPr>
        <w:t xml:space="preserve">  Équipe  </w:t>
      </w:r>
      <w:r>
        <w:rPr>
          <w:sz w:val="20"/>
        </w:rPr>
        <w:t xml:space="preserve">   </w:t>
      </w:r>
    </w:p>
    <w:tbl>
      <w:tblPr>
        <w:tblW w:type="auto" w:w="0"/>
        <w:jc w:val="center"/>
        <w:tblLayout w:type="fixed"/>
        <w:tblLook w:firstColumn="1" w:firstRow="1" w:lastColumn="0" w:lastRow="0" w:noHBand="0" w:noVBand="1" w:val="04A0"/>
        <w:tblBorders>
          <w:top w:val="single" w:sz="4" w:space="0" w:color="CBD9DD"/>
          <w:left w:val="single" w:sz="4" w:space="0" w:color="CBD9DD"/>
          <w:bottom w:val="single" w:sz="4" w:space="0" w:color="CBD9DD"/>
          <w:right w:val="single" w:sz="4" w:space="0" w:color="CBD9DD"/>
          <w:insideH w:val="single" w:sz="4" w:space="0" w:color="CBD9DD"/>
          <w:insideV w:val="single" w:sz="4" w:space="0" w:color="CBD9DD"/>
        </w:tblBorders>
      </w:tblPr>
      <w:tblGrid>
        <w:gridCol w:w="1252"/>
        <w:gridCol w:w="1252"/>
        <w:gridCol w:w="1252"/>
        <w:gridCol w:w="1252"/>
        <w:gridCol w:w="1252"/>
        <w:gridCol w:w="1252"/>
        <w:gridCol w:w="1252"/>
        <w:gridCol w:w="1252"/>
        <w:gridCol w:w="1252"/>
        <w:gridCol w:w="1252"/>
        <w:gridCol w:w="1252"/>
      </w:tblGrid>
      <w:tr>
        <w:tc>
          <w:tcPr>
            <w:tcW w:type="dxa" w:w="4592"/>
            <w:gridSpan w:val="2"/>
            <w:shd w:val="clear" w:color="auto" w:fill="FFFFFF"/>
            <w:tcMar>
              <w:top w:w="40" w:type="dxa"/>
              <w:bottom w:w="40" w:type="dxa"/>
              <w:start w:w="70" w:type="dxa"/>
              <w:end w:w="70" w:type="dxa"/>
            </w:tcMar>
          </w:tcPr>
          <w:p/>
        </w:tc>
        <w:tc>
          <w:tcPr>
            <w:tcW w:type="dxa" w:w="4930"/>
            <w:gridSpan w:val="7"/>
            <w:shd w:val="clear" w:color="auto" w:fill="0F2A43"/>
            <w:vAlign w:val="center"/>
            <w:tcMar>
              <w:top w:w="40" w:type="dxa"/>
              <w:bottom w:w="40" w:type="dxa"/>
              <w:start w:w="70" w:type="dxa"/>
              <w:end w:w="70" w:type="dxa"/>
            </w:tcMar>
          </w:tcPr>
          <w:p>
            <w:pPr>
              <w:jc w:val="center"/>
            </w:pPr>
            <w:r>
              <w:rPr>
                <w:b/>
                <w:color w:val="FFFFFF"/>
                <w:sz w:val="20"/>
              </w:rPr>
              <w:t xml:space="preserve">Semaine 1  (08 → 14/08)</w:t>
            </w:r>
          </w:p>
        </w:tc>
        <w:tc>
          <w:tcPr>
            <w:tcW w:type="dxa" w:w="4930"/>
            <w:gridSpan w:val="2"/>
            <w:shd w:val="clear" w:color="auto" w:fill="127A8A"/>
            <w:vAlign w:val="center"/>
            <w:tcMar>
              <w:top w:w="40" w:type="dxa"/>
              <w:bottom w:w="40" w:type="dxa"/>
              <w:start w:w="70" w:type="dxa"/>
              <w:end w:w="70" w:type="dxa"/>
            </w:tcMar>
          </w:tcPr>
          <w:p>
            <w:pPr>
              <w:jc w:val="center"/>
            </w:pPr>
            <w:r>
              <w:rPr>
                <w:b/>
                <w:color w:val="FFFFFF"/>
                <w:sz w:val="20"/>
              </w:rPr>
              <w:t xml:space="preserve">Semaine 2  (15–16/08)</w:t>
            </w:r>
          </w:p>
        </w:tc>
      </w:tr>
      <w:tr>
        <w:tc>
          <w:tcPr>
            <w:tcW w:type="dxa" w:w="3742"/>
            <w:shd w:val="clear" w:color="auto" w:fill="34495E"/>
            <w:tcMar>
              <w:top w:w="40" w:type="dxa"/>
              <w:bottom w:w="40" w:type="dxa"/>
              <w:start w:w="70" w:type="dxa"/>
              <w:end w:w="70" w:type="dxa"/>
            </w:tcMar>
            <w:vAlign w:val="center"/>
          </w:tcPr>
          <w:p>
            <w:pPr>
              <w:spacing w:after="20"/>
            </w:pPr>
            <w:r>
              <w:rPr>
                <w:b/>
                <w:color w:val="FFFFFF"/>
                <w:sz w:val="18"/>
              </w:rPr>
              <w:t>Tâche</w:t>
            </w:r>
          </w:p>
        </w:tc>
        <w:tc>
          <w:tcPr>
            <w:tcW w:type="dxa" w:w="850"/>
            <w:shd w:val="clear" w:color="auto" w:fill="34495E"/>
            <w:tcMar>
              <w:top w:w="40" w:type="dxa"/>
              <w:bottom w:w="40" w:type="dxa"/>
              <w:start w:w="70" w:type="dxa"/>
              <w:end w:w="70" w:type="dxa"/>
            </w:tcMar>
            <w:vAlign w:val="center"/>
          </w:tcPr>
          <w:p>
            <w:pPr>
              <w:spacing w:after="20"/>
              <w:jc w:val="center"/>
            </w:pPr>
            <w:r>
              <w:rPr>
                <w:b/>
                <w:color w:val="FFFFFF"/>
                <w:sz w:val="18"/>
              </w:rPr>
              <w:t>Resp</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08/08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09/08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10/08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11/08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12/08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13/08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14/08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15/08</w:t>
            </w:r>
          </w:p>
        </w:tc>
        <w:tc>
          <w:tcPr>
            <w:tcW w:type="dxa" w:w="986"/>
            <w:shd w:val="clear" w:color="auto" w:fill="34495E"/>
            <w:tcMar>
              <w:top w:w="40" w:type="dxa"/>
              <w:bottom w:w="40" w:type="dxa"/>
              <w:start w:w="70" w:type="dxa"/>
              <w:end w:w="70" w:type="dxa"/>
            </w:tcMar>
            <w:vAlign w:val="center"/>
          </w:tcPr>
          <w:p>
            <w:pPr>
              <w:spacing w:after="20"/>
              <w:jc w:val="center"/>
            </w:pPr>
            <w:r>
              <w:rPr>
                <w:b/>
                <w:color w:val="FFFFFF"/>
                <w:sz w:val="18"/>
              </w:rPr>
              <w:t xml:space="preserve">16/08</w:t>
            </w:r>
          </w:p>
        </w:tc>
      </w:tr>
      <w:tr>
        <w:tc>
          <w:tcPr>
            <w:tcW w:type="dxa" w:w="3742"/>
            <w:tcMar>
              <w:top w:w="40" w:type="dxa"/>
              <w:bottom w:w="40" w:type="dxa"/>
              <w:start w:w="70" w:type="dxa"/>
              <w:end w:w="70" w:type="dxa"/>
            </w:tcMar>
            <w:vAlign w:val="center"/>
          </w:tcPr>
          <w:p>
            <w:pPr>
              <w:spacing w:after="20"/>
            </w:pPr>
            <w:r>
              <w:rPr>
                <w:sz w:val="17"/>
              </w:rPr>
              <w:t>Coordination &amp; pilotage (P1)</w:t>
            </w:r>
          </w:p>
        </w:tc>
        <w:tc>
          <w:tcPr>
            <w:tcW w:type="dxa" w:w="850"/>
            <w:tcMar>
              <w:top w:w="40" w:type="dxa"/>
              <w:bottom w:w="40" w:type="dxa"/>
              <w:start w:w="70" w:type="dxa"/>
              <w:end w:w="70" w:type="dxa"/>
            </w:tcMar>
            <w:vAlign w:val="center"/>
          </w:tcPr>
          <w:p>
            <w:pPr>
              <w:spacing w:after="20"/>
              <w:jc w:val="center"/>
            </w:pPr>
            <w:r>
              <w:rPr>
                <w:b/>
                <w:color w:val="0F2A43"/>
                <w:sz w:val="17"/>
              </w:rPr>
              <w:t>P1</w:t>
            </w: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0F2A43"/>
          </w:tcPr>
          <w:p/>
        </w:tc>
      </w:tr>
      <w:tr>
        <w:tc>
          <w:tcPr>
            <w:tcW w:type="dxa" w:w="3742"/>
            <w:tcMar>
              <w:top w:w="40" w:type="dxa"/>
              <w:bottom w:w="40" w:type="dxa"/>
              <w:start w:w="70" w:type="dxa"/>
              <w:end w:w="70" w:type="dxa"/>
            </w:tcMar>
            <w:vAlign w:val="center"/>
            <w:shd w:val="clear" w:color="auto" w:fill="F5F8F9"/>
          </w:tcPr>
          <w:p>
            <w:pPr>
              <w:spacing w:after="20"/>
            </w:pPr>
            <w:r>
              <w:rPr>
                <w:sz w:val="17"/>
              </w:rPr>
              <w:t>1. Cadrage (docs projet)</w:t>
            </w:r>
          </w:p>
        </w:tc>
        <w:tc>
          <w:tcPr>
            <w:tcW w:type="dxa" w:w="850"/>
            <w:tcMar>
              <w:top w:w="40" w:type="dxa"/>
              <w:bottom w:w="40" w:type="dxa"/>
              <w:start w:w="70" w:type="dxa"/>
              <w:end w:w="70" w:type="dxa"/>
            </w:tcMar>
            <w:vAlign w:val="center"/>
          </w:tcPr>
          <w:p>
            <w:pPr>
              <w:spacing w:after="20"/>
              <w:jc w:val="center"/>
            </w:pPr>
            <w:r>
              <w:rPr>
                <w:b/>
                <w:color w:val="0F2A43"/>
                <w:sz w:val="17"/>
              </w:rPr>
              <w:t>P1</w:t>
            </w:r>
          </w:p>
        </w:tc>
        <w:tc>
          <w:tcPr>
            <w:tcW w:type="dxa" w:w="986"/>
            <w:tcMar>
              <w:top w:w="40" w:type="dxa"/>
              <w:bottom w:w="40" w:type="dxa"/>
              <w:start w:w="20" w:type="dxa"/>
              <w:end w:w="20" w:type="dxa"/>
            </w:tcMar>
            <w:vAlign w:val="center"/>
            <w:shd w:val="clear" w:color="auto" w:fill="0F2A43"/>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tcPr>
          <w:p>
            <w:pPr>
              <w:spacing w:after="20"/>
            </w:pPr>
            <w:r>
              <w:rPr>
                <w:sz w:val="17"/>
              </w:rPr>
              <w:t>2. Architecture (schémas)</w:t>
            </w:r>
          </w:p>
        </w:tc>
        <w:tc>
          <w:tcPr>
            <w:tcW w:type="dxa" w:w="850"/>
            <w:tcMar>
              <w:top w:w="40" w:type="dxa"/>
              <w:bottom w:w="40" w:type="dxa"/>
              <w:start w:w="70" w:type="dxa"/>
              <w:end w:w="70" w:type="dxa"/>
            </w:tcMar>
            <w:vAlign w:val="center"/>
          </w:tcPr>
          <w:p>
            <w:pPr>
              <w:spacing w:after="20"/>
              <w:jc w:val="center"/>
            </w:pPr>
            <w:r>
              <w:rPr>
                <w:b/>
                <w:color w:val="127A8A"/>
                <w:sz w:val="17"/>
              </w:rPr>
              <w:t>P2</w:t>
            </w:r>
          </w:p>
        </w:tc>
        <w:tc>
          <w:tcPr>
            <w:tcW w:type="dxa" w:w="986"/>
            <w:tcMar>
              <w:top w:w="40" w:type="dxa"/>
              <w:bottom w:w="40" w:type="dxa"/>
              <w:start w:w="20" w:type="dxa"/>
              <w:end w:w="20" w:type="dxa"/>
            </w:tcMar>
            <w:vAlign w:val="center"/>
            <w:shd w:val="clear" w:color="auto" w:fill="127A8A"/>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3.1 Génération du dataset</w:t>
            </w:r>
          </w:p>
        </w:tc>
        <w:tc>
          <w:tcPr>
            <w:tcW w:type="dxa" w:w="850"/>
            <w:tcMar>
              <w:top w:w="40" w:type="dxa"/>
              <w:bottom w:w="40" w:type="dxa"/>
              <w:start w:w="70" w:type="dxa"/>
              <w:end w:w="70" w:type="dxa"/>
            </w:tcMar>
            <w:vAlign w:val="center"/>
          </w:tcPr>
          <w:p>
            <w:pPr>
              <w:spacing w:after="20"/>
              <w:jc w:val="center"/>
            </w:pPr>
            <w:r>
              <w:rPr>
                <w:b/>
                <w:color w:val="127A8A"/>
                <w:sz w:val="17"/>
              </w:rPr>
              <w:t>P2</w:t>
            </w:r>
          </w:p>
        </w:tc>
        <w:tc>
          <w:tcPr>
            <w:tcW w:type="dxa" w:w="986"/>
            <w:tcMar>
              <w:top w:w="40" w:type="dxa"/>
              <w:bottom w:w="40" w:type="dxa"/>
              <w:start w:w="20" w:type="dxa"/>
              <w:end w:w="20" w:type="dxa"/>
            </w:tcMar>
            <w:vAlign w:val="center"/>
            <w:shd w:val="clear" w:color="auto" w:fill="127A8A"/>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tcPr>
          <w:p>
            <w:pPr>
              <w:spacing w:after="20"/>
            </w:pPr>
            <w:r>
              <w:rPr>
                <w:sz w:val="17"/>
              </w:rPr>
              <w:t>3.2 Ingestion Spark</w:t>
            </w:r>
          </w:p>
        </w:tc>
        <w:tc>
          <w:tcPr>
            <w:tcW w:type="dxa" w:w="850"/>
            <w:tcMar>
              <w:top w:w="40" w:type="dxa"/>
              <w:bottom w:w="40" w:type="dxa"/>
              <w:start w:w="70" w:type="dxa"/>
              <w:end w:w="70" w:type="dxa"/>
            </w:tcMar>
            <w:vAlign w:val="center"/>
          </w:tcPr>
          <w:p>
            <w:pPr>
              <w:spacing w:after="20"/>
              <w:jc w:val="center"/>
            </w:pPr>
            <w:r>
              <w:rPr>
                <w:b/>
                <w:color w:val="127A8A"/>
                <w:sz w:val="17"/>
              </w:rPr>
              <w:t>P2</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127A8A"/>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3.3 Stockage Lake / Warehouse</w:t>
            </w:r>
          </w:p>
        </w:tc>
        <w:tc>
          <w:tcPr>
            <w:tcW w:type="dxa" w:w="850"/>
            <w:tcMar>
              <w:top w:w="40" w:type="dxa"/>
              <w:bottom w:w="40" w:type="dxa"/>
              <w:start w:w="70" w:type="dxa"/>
              <w:end w:w="70" w:type="dxa"/>
            </w:tcMar>
            <w:vAlign w:val="center"/>
          </w:tcPr>
          <w:p>
            <w:pPr>
              <w:spacing w:after="20"/>
              <w:jc w:val="center"/>
            </w:pPr>
            <w:r>
              <w:rPr>
                <w:b/>
                <w:color w:val="127A8A"/>
                <w:sz w:val="17"/>
              </w:rPr>
              <w:t>P2</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127A8A"/>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tcPr>
          <w:p>
            <w:pPr>
              <w:spacing w:after="20"/>
            </w:pPr>
            <w:r>
              <w:rPr>
                <w:sz w:val="17"/>
              </w:rPr>
              <w:t>3.4 Contrôles qualité</w:t>
            </w:r>
          </w:p>
        </w:tc>
        <w:tc>
          <w:tcPr>
            <w:tcW w:type="dxa" w:w="850"/>
            <w:tcMar>
              <w:top w:w="40" w:type="dxa"/>
              <w:bottom w:w="40" w:type="dxa"/>
              <w:start w:w="70" w:type="dxa"/>
              <w:end w:w="70" w:type="dxa"/>
            </w:tcMar>
            <w:vAlign w:val="center"/>
          </w:tcPr>
          <w:p>
            <w:pPr>
              <w:spacing w:after="20"/>
              <w:jc w:val="center"/>
            </w:pPr>
            <w:r>
              <w:rPr>
                <w:b/>
                <w:color w:val="127A8A"/>
                <w:sz w:val="17"/>
              </w:rPr>
              <w:t>P2</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127A8A"/>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3.5 Streaming Kafka</w:t>
            </w:r>
          </w:p>
        </w:tc>
        <w:tc>
          <w:tcPr>
            <w:tcW w:type="dxa" w:w="850"/>
            <w:tcMar>
              <w:top w:w="40" w:type="dxa"/>
              <w:bottom w:w="40" w:type="dxa"/>
              <w:start w:w="70" w:type="dxa"/>
              <w:end w:w="70" w:type="dxa"/>
            </w:tcMar>
            <w:vAlign w:val="center"/>
          </w:tcPr>
          <w:p>
            <w:pPr>
              <w:spacing w:after="20"/>
              <w:jc w:val="center"/>
            </w:pPr>
            <w:r>
              <w:rPr>
                <w:b/>
                <w:color w:val="127A8A"/>
                <w:sz w:val="17"/>
              </w:rPr>
              <w:t>P2</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127A8A"/>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tcPr>
          <w:p>
            <w:pPr>
              <w:spacing w:after="20"/>
            </w:pPr>
            <w:r>
              <w:rPr>
                <w:sz w:val="17"/>
              </w:rPr>
              <w:t>3.6 Orchestration Airflow</w:t>
            </w:r>
          </w:p>
        </w:tc>
        <w:tc>
          <w:tcPr>
            <w:tcW w:type="dxa" w:w="850"/>
            <w:tcMar>
              <w:top w:w="40" w:type="dxa"/>
              <w:bottom w:w="40" w:type="dxa"/>
              <w:start w:w="70" w:type="dxa"/>
              <w:end w:w="70" w:type="dxa"/>
            </w:tcMar>
            <w:vAlign w:val="center"/>
          </w:tcPr>
          <w:p>
            <w:pPr>
              <w:spacing w:after="20"/>
              <w:jc w:val="center"/>
            </w:pPr>
            <w:r>
              <w:rPr>
                <w:b/>
                <w:color w:val="127A8A"/>
                <w:sz w:val="17"/>
              </w:rPr>
              <w:t>P2</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127A8A"/>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4.1 Prévision de la demande</w:t>
            </w:r>
          </w:p>
        </w:tc>
        <w:tc>
          <w:tcPr>
            <w:tcW w:type="dxa" w:w="850"/>
            <w:tcMar>
              <w:top w:w="40" w:type="dxa"/>
              <w:bottom w:w="40" w:type="dxa"/>
              <w:start w:w="70" w:type="dxa"/>
              <w:end w:w="70" w:type="dxa"/>
            </w:tcMar>
            <w:vAlign w:val="center"/>
          </w:tcPr>
          <w:p>
            <w:pPr>
              <w:spacing w:after="20"/>
              <w:jc w:val="center"/>
            </w:pPr>
            <w:r>
              <w:rPr>
                <w:b/>
                <w:color w:val="E67E22"/>
                <w:sz w:val="17"/>
              </w:rPr>
              <w:t>P3</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E67E22"/>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tcPr>
          <w:p>
            <w:pPr>
              <w:spacing w:after="20"/>
            </w:pPr>
            <w:r>
              <w:rPr>
                <w:sz w:val="17"/>
              </w:rPr>
              <w:t>4.2 Optimisation des prix</w:t>
            </w:r>
          </w:p>
        </w:tc>
        <w:tc>
          <w:tcPr>
            <w:tcW w:type="dxa" w:w="850"/>
            <w:tcMar>
              <w:top w:w="40" w:type="dxa"/>
              <w:bottom w:w="40" w:type="dxa"/>
              <w:start w:w="70" w:type="dxa"/>
              <w:end w:w="70" w:type="dxa"/>
            </w:tcMar>
            <w:vAlign w:val="center"/>
          </w:tcPr>
          <w:p>
            <w:pPr>
              <w:spacing w:after="20"/>
              <w:jc w:val="center"/>
            </w:pPr>
            <w:r>
              <w:rPr>
                <w:b/>
                <w:color w:val="E67E22"/>
                <w:sz w:val="17"/>
              </w:rPr>
              <w:t>P3</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E67E22"/>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4.3 Recommandation produits</w:t>
            </w:r>
          </w:p>
        </w:tc>
        <w:tc>
          <w:tcPr>
            <w:tcW w:type="dxa" w:w="850"/>
            <w:tcMar>
              <w:top w:w="40" w:type="dxa"/>
              <w:bottom w:w="40" w:type="dxa"/>
              <w:start w:w="70" w:type="dxa"/>
              <w:end w:w="70" w:type="dxa"/>
            </w:tcMar>
            <w:vAlign w:val="center"/>
          </w:tcPr>
          <w:p>
            <w:pPr>
              <w:spacing w:after="20"/>
              <w:jc w:val="center"/>
            </w:pPr>
            <w:r>
              <w:rPr>
                <w:b/>
                <w:color w:val="E67E22"/>
                <w:sz w:val="17"/>
              </w:rPr>
              <w:t>P3</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E67E22"/>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tcPr>
          <w:p>
            <w:pPr>
              <w:spacing w:after="20"/>
            </w:pPr>
            <w:r>
              <w:rPr>
                <w:sz w:val="17"/>
              </w:rPr>
              <w:t>4.4 Évaluation des modèles</w:t>
            </w:r>
          </w:p>
        </w:tc>
        <w:tc>
          <w:tcPr>
            <w:tcW w:type="dxa" w:w="850"/>
            <w:tcMar>
              <w:top w:w="40" w:type="dxa"/>
              <w:bottom w:w="40" w:type="dxa"/>
              <w:start w:w="70" w:type="dxa"/>
              <w:end w:w="70" w:type="dxa"/>
            </w:tcMar>
            <w:vAlign w:val="center"/>
          </w:tcPr>
          <w:p>
            <w:pPr>
              <w:spacing w:after="20"/>
              <w:jc w:val="center"/>
            </w:pPr>
            <w:r>
              <w:rPr>
                <w:b/>
                <w:color w:val="E67E22"/>
                <w:sz w:val="17"/>
              </w:rPr>
              <w:t>P3</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E67E22"/>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5.1 MLOps (MLflow, monitoring, CI/CD)</w:t>
            </w:r>
          </w:p>
        </w:tc>
        <w:tc>
          <w:tcPr>
            <w:tcW w:type="dxa" w:w="850"/>
            <w:tcMar>
              <w:top w:w="40" w:type="dxa"/>
              <w:bottom w:w="40" w:type="dxa"/>
              <w:start w:w="70" w:type="dxa"/>
              <w:end w:w="70" w:type="dxa"/>
            </w:tcMar>
            <w:vAlign w:val="center"/>
          </w:tcPr>
          <w:p>
            <w:pPr>
              <w:spacing w:after="20"/>
              <w:jc w:val="center"/>
            </w:pPr>
            <w:r>
              <w:rPr>
                <w:b/>
                <w:color w:val="8E44AD"/>
                <w:sz w:val="17"/>
              </w:rPr>
              <w:t>P4</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8E44AD"/>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5.2 API FastAPI + Docker</w:t>
            </w:r>
          </w:p>
        </w:tc>
        <w:tc>
          <w:tcPr>
            <w:tcW w:type="dxa" w:w="850"/>
            <w:tcMar>
              <w:top w:w="40" w:type="dxa"/>
              <w:bottom w:w="40" w:type="dxa"/>
              <w:start w:w="70" w:type="dxa"/>
              <w:end w:w="70" w:type="dxa"/>
            </w:tcMar>
            <w:vAlign w:val="center"/>
          </w:tcPr>
          <w:p>
            <w:pPr>
              <w:spacing w:after="20"/>
              <w:jc w:val="center"/>
            </w:pPr>
            <w:r>
              <w:rPr>
                <w:b/>
                <w:color w:val="8E44AD"/>
                <w:sz w:val="17"/>
              </w:rPr>
              <w:t>P4</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8E44AD"/>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tcPr>
          <w:p>
            <w:pPr>
              <w:spacing w:after="20"/>
            </w:pPr>
            <w:r>
              <w:rPr>
                <w:sz w:val="17"/>
              </w:rPr>
              <w:t>5.3 Dashboard décisionnel</w:t>
            </w:r>
          </w:p>
        </w:tc>
        <w:tc>
          <w:tcPr>
            <w:tcW w:type="dxa" w:w="850"/>
            <w:tcMar>
              <w:top w:w="40" w:type="dxa"/>
              <w:bottom w:w="40" w:type="dxa"/>
              <w:start w:w="70" w:type="dxa"/>
              <w:end w:w="70" w:type="dxa"/>
            </w:tcMar>
            <w:vAlign w:val="center"/>
          </w:tcPr>
          <w:p>
            <w:pPr>
              <w:spacing w:after="20"/>
              <w:jc w:val="center"/>
            </w:pPr>
            <w:r>
              <w:rPr>
                <w:b/>
                <w:color w:val="8E44AD"/>
                <w:sz w:val="17"/>
              </w:rPr>
              <w:t>P4</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8E44AD"/>
          </w:tcPr>
          <w:p/>
        </w:tc>
        <w:tc>
          <w:tcPr>
            <w:tcW w:type="dxa" w:w="986"/>
            <w:tcMar>
              <w:top w:w="40" w:type="dxa"/>
              <w:bottom w:w="40" w:type="dxa"/>
              <w:start w:w="20" w:type="dxa"/>
              <w:end w:w="20" w:type="dxa"/>
            </w:tcMar>
            <w:vAlign w:val="center"/>
            <w:shd w:val="clear" w:color="auto" w:fill="8E44AD"/>
          </w:tcPr>
          <w:p/>
        </w:tc>
        <w:tc>
          <w:tcPr>
            <w:tcW w:type="dxa" w:w="986"/>
            <w:tcMar>
              <w:top w:w="40" w:type="dxa"/>
              <w:bottom w:w="40" w:type="dxa"/>
              <w:start w:w="20" w:type="dxa"/>
              <w:end w:w="20" w:type="dxa"/>
            </w:tcMar>
            <w:vAlign w:val="center"/>
            <w:shd w:val="clear" w:color="auto" w:fill="F5F8F9"/>
          </w:tcPr>
          <w:p/>
        </w:tc>
      </w:tr>
      <w:tr>
        <w:tc>
          <w:tcPr>
            <w:tcW w:type="dxa" w:w="3742"/>
            <w:tcMar>
              <w:top w:w="40" w:type="dxa"/>
              <w:bottom w:w="40" w:type="dxa"/>
              <w:start w:w="70" w:type="dxa"/>
              <w:end w:w="70" w:type="dxa"/>
            </w:tcMar>
            <w:vAlign w:val="center"/>
            <w:shd w:val="clear" w:color="auto" w:fill="F5F8F9"/>
          </w:tcPr>
          <w:p>
            <w:pPr>
              <w:spacing w:after="20"/>
            </w:pPr>
            <w:r>
              <w:rPr>
                <w:sz w:val="17"/>
              </w:rPr>
              <w:t>6.1 Business case + ROI</w:t>
            </w:r>
          </w:p>
        </w:tc>
        <w:tc>
          <w:tcPr>
            <w:tcW w:type="dxa" w:w="850"/>
            <w:tcMar>
              <w:top w:w="40" w:type="dxa"/>
              <w:bottom w:w="40" w:type="dxa"/>
              <w:start w:w="70" w:type="dxa"/>
              <w:end w:w="70" w:type="dxa"/>
            </w:tcMar>
            <w:vAlign w:val="center"/>
          </w:tcPr>
          <w:p>
            <w:pPr>
              <w:spacing w:after="20"/>
              <w:jc w:val="center"/>
            </w:pPr>
            <w:r>
              <w:rPr>
                <w:b/>
                <w:color w:val="0F2A43"/>
                <w:sz w:val="17"/>
              </w:rPr>
              <w:t>P1</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0F2A43"/>
          </w:tcPr>
          <w:p/>
        </w:tc>
      </w:tr>
      <w:tr>
        <w:tc>
          <w:tcPr>
            <w:tcW w:type="dxa" w:w="3742"/>
            <w:tcMar>
              <w:top w:w="40" w:type="dxa"/>
              <w:bottom w:w="40" w:type="dxa"/>
              <w:start w:w="70" w:type="dxa"/>
              <w:end w:w="70" w:type="dxa"/>
            </w:tcMar>
            <w:vAlign w:val="center"/>
          </w:tcPr>
          <w:p>
            <w:pPr>
              <w:spacing w:after="20"/>
            </w:pPr>
            <w:r>
              <w:rPr>
                <w:sz w:val="17"/>
              </w:rPr>
              <w:t>6.2 Rapport final</w:t>
            </w:r>
          </w:p>
        </w:tc>
        <w:tc>
          <w:tcPr>
            <w:tcW w:type="dxa" w:w="850"/>
            <w:tcMar>
              <w:top w:w="40" w:type="dxa"/>
              <w:bottom w:w="40" w:type="dxa"/>
              <w:start w:w="70" w:type="dxa"/>
              <w:end w:w="70" w:type="dxa"/>
            </w:tcMar>
            <w:vAlign w:val="center"/>
          </w:tcPr>
          <w:p>
            <w:pPr>
              <w:spacing w:after="20"/>
              <w:jc w:val="center"/>
            </w:pPr>
            <w:r>
              <w:rPr>
                <w:b/>
                <w:color w:val="0F2A43"/>
                <w:sz w:val="17"/>
              </w:rPr>
              <w:t>P1</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0F2A43"/>
          </w:tcPr>
          <w:p/>
        </w:tc>
      </w:tr>
      <w:tr>
        <w:tc>
          <w:tcPr>
            <w:tcW w:type="dxa" w:w="3742"/>
            <w:tcMar>
              <w:top w:w="40" w:type="dxa"/>
              <w:bottom w:w="40" w:type="dxa"/>
              <w:start w:w="70" w:type="dxa"/>
              <w:end w:w="70" w:type="dxa"/>
            </w:tcMar>
            <w:vAlign w:val="center"/>
            <w:shd w:val="clear" w:color="auto" w:fill="F5F8F9"/>
          </w:tcPr>
          <w:p>
            <w:pPr>
              <w:spacing w:after="20"/>
            </w:pPr>
            <w:r>
              <w:rPr>
                <w:sz w:val="17"/>
              </w:rPr>
              <w:t>6.3 Présentation + démo + Git</w:t>
            </w:r>
          </w:p>
        </w:tc>
        <w:tc>
          <w:tcPr>
            <w:tcW w:type="dxa" w:w="850"/>
            <w:tcMar>
              <w:top w:w="40" w:type="dxa"/>
              <w:bottom w:w="40" w:type="dxa"/>
              <w:start w:w="70" w:type="dxa"/>
              <w:end w:w="70" w:type="dxa"/>
            </w:tcMar>
            <w:vAlign w:val="center"/>
          </w:tcPr>
          <w:p>
            <w:pPr>
              <w:spacing w:after="20"/>
              <w:jc w:val="center"/>
            </w:pPr>
            <w:r>
              <w:rPr>
                <w:b/>
                <w:color w:val="27AE60"/>
                <w:sz w:val="17"/>
              </w:rPr>
              <w:t>Équipe</w:t>
            </w: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F5F8F9"/>
          </w:tcPr>
          <w:p/>
        </w:tc>
        <w:tc>
          <w:tcPr>
            <w:tcW w:type="dxa" w:w="986"/>
            <w:tcMar>
              <w:top w:w="40" w:type="dxa"/>
              <w:bottom w:w="40" w:type="dxa"/>
              <w:start w:w="20" w:type="dxa"/>
              <w:end w:w="20" w:type="dxa"/>
            </w:tcMar>
            <w:vAlign w:val="center"/>
            <w:shd w:val="clear" w:color="auto" w:fill="27AE60"/>
          </w:tcPr>
          <w:p/>
        </w:tc>
      </w:tr>
    </w:tbl>
    <w:p/>
    <w:p>
      <w:r>
        <w:rPr>
          <w:color w:val="555555"/>
          <w:sz w:val="19"/>
        </w:rPr>
        <w:t>Lecture : chaque barre colorée indique la période de réalisation d'une tâche, dans la couleur de son responsable. Les tâches se chevauchent volontairement (P2 prépare les données pendant que P1 finalise le cadrage ; P3 démarre les modèles dès que les premières données sont prêtes).</w:t>
      </w:r>
    </w:p>
    <w:p>
      <w:pPr>
        <w:spacing w:before="240" w:after="100"/>
        <w:pBdr>
          <w:bottom w:val="single" w:sz="18" w:space="4" w:color="127A8A"/>
        </w:pBdr>
      </w:pPr>
      <w:r>
        <w:rPr>
          <w:b/>
          <w:color w:val="0F2A43"/>
          <w:sz w:val="32"/>
        </w:rPr>
        <w:t>Chemin critique</w:t>
      </w:r>
    </w:p>
    <w:p>
      <w:r>
        <w:rPr>
          <w:sz w:val="20"/>
        </w:rPr>
        <w:t>Le chemin critique (la séquence qui détermine la durée minimale du projet) est :</w:t>
      </w:r>
    </w:p>
    <w:p>
      <w:pPr>
        <w:ind w:left="283"/>
      </w:pPr>
      <w:r>
        <w:rPr>
          <w:b/>
          <w:color w:val="127A8A"/>
          <w:sz w:val="22"/>
        </w:rPr>
        <w:t>Données (P2)  →  Modèles (P3)  →  MLOps + API + Dashboard (P4)  →  Présentation (Équipe)</w:t>
      </w:r>
    </w:p>
    <w:p>
      <w:r>
        <w:rPr>
          <w:color w:val="555555"/>
          <w:sz w:val="19"/>
        </w:rPr>
        <w:t>Tout retard sur ces tâches décale la fin du projet. Le cadrage (P1) et l'architecture se font en parallèle et ne sont pas sur le chemin critique.</w:t>
      </w:r>
    </w:p>
    <w:sectPr w:rsidR="00FC693F" w:rsidRPr="0006063C" w:rsidSect="00034616">
      <w:footerReference w:type="default" r:id="rId9"/>
      <w:headerReference w:type="default" r:id="rId10"/>
      <w:headerReference w:type="first" r:id="rId11"/>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Gantt — Teranga Market  |  Page </w:t>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