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0F2A43"/>
          <w:sz w:val="56"/>
        </w:rPr>
        <w:t>NOTE DE CONFORMITÉ RGPD</w:t>
      </w:r>
    </w:p>
    <w:p>
      <w:pPr>
        <w:jc w:val="center"/>
        <w:pBdr>
          <w:bottom w:val="single" w:sz="18" w:space="4" w:color="127A8A"/>
        </w:pBdr>
      </w:pPr>
    </w:p>
    <w:p>
      <w:pPr>
        <w:jc w:val="center"/>
      </w:pPr>
      <w:r>
        <w:rPr>
          <w:i/>
          <w:color w:val="555555"/>
          <w:sz w:val="28"/>
        </w:rPr>
        <w:t>Protection des données personnelles</w:t>
      </w:r>
    </w:p>
    <w:p>
      <w:pPr>
        <w:jc w:val="center"/>
      </w:pPr>
      <w:r>
        <w:rPr>
          <w:i/>
          <w:color w:val="127A8A"/>
          <w:sz w:val="28"/>
        </w:rPr>
        <w:t>Projet Data-Driven Pricing — Teranga Market</w:t>
      </w:r>
    </w:p>
    <w:p/>
    <w:p/>
    <w:p/>
    <w:p/>
    <w:p/>
    <w:p>
      <w:pPr>
        <w:jc w:val="center"/>
      </w:pPr>
      <w:r>
        <w:rPr>
          <w:b/>
          <w:color w:val="0F2A43"/>
          <w:sz w:val="24"/>
        </w:rPr>
        <w:t xml:space="preserve">Formation : </w:t>
      </w:r>
      <w:r>
        <w:rPr>
          <w:color w:val="555555"/>
          <w:sz w:val="24"/>
        </w:rPr>
        <w:t>Master 2 Big Data — ISM</w:t>
      </w:r>
    </w:p>
    <w:p>
      <w:pPr>
        <w:jc w:val="center"/>
      </w:pPr>
      <w:r>
        <w:rPr>
          <w:b/>
          <w:color w:val="0F2A43"/>
          <w:sz w:val="24"/>
        </w:rPr>
        <w:t xml:space="preserve">Module : </w:t>
      </w:r>
      <w:r>
        <w:rPr>
          <w:color w:val="555555"/>
          <w:sz w:val="24"/>
        </w:rPr>
        <w:t>Gestion de Projet Data &amp; E-Business</w:t>
      </w:r>
    </w:p>
    <w:p>
      <w:pPr>
        <w:jc w:val="center"/>
      </w:pPr>
      <w:r>
        <w:rPr>
          <w:b/>
          <w:color w:val="0F2A43"/>
          <w:sz w:val="24"/>
        </w:rPr>
        <w:t xml:space="preserve">Date : </w:t>
      </w:r>
      <w:r>
        <w:rPr>
          <w:color w:val="555555"/>
          <w:sz w:val="24"/>
        </w:rPr>
        <w:t>Août 2026</w:t>
      </w:r>
    </w:p>
    <w:p>
      <w:r>
        <w:br w:type="page"/>
      </w:r>
    </w:p>
    <w:p>
      <w:pPr>
        <w:spacing w:before="280" w:after="100"/>
        <w:pBdr>
          <w:bottom w:val="single" w:sz="18" w:space="4" w:color="127A8A"/>
        </w:pBdr>
      </w:pPr>
      <w:r>
        <w:rPr>
          <w:b/>
          <w:color w:val="0F2A43"/>
          <w:sz w:val="32"/>
        </w:rPr>
        <w:t>1. Contexte et portée</w:t>
      </w:r>
    </w:p>
    <w:p>
      <w:r>
        <w:rPr>
          <w:sz w:val="22"/>
        </w:rPr>
        <w:t>Le projet manipule des données de clients (transactions, navigation, profils) pour alimenter des modèles de prévision, de pricing et de recommandation. À ce titre, il relève du Règlement Général sur la Protection des Données (RGPD).</w:t>
      </w:r>
    </w:p>
    <w:p>
      <w:r>
        <w:rPr>
          <w:color w:val="0F2A43"/>
          <w:sz w:val="22"/>
        </w:rPr>
        <w:t>Point essentiel : dans le cadre pédagogique, le projet utilise exclusivement des données synthétiques (générées artificiellement). Aucune donnée personnelle réelle n'est collectée ni traitée. Le risque RGPD réel est donc nul. Néanmoins, la démarche de conformité est documentée ici comme si le système était déployé en production, afin de démontrer sa conformité by design.</w:t>
      </w:r>
    </w:p>
    <w:p>
      <w:pPr>
        <w:spacing w:before="280" w:after="100"/>
        <w:pBdr>
          <w:bottom w:val="single" w:sz="18" w:space="4" w:color="127A8A"/>
        </w:pBdr>
      </w:pPr>
      <w:r>
        <w:rPr>
          <w:b/>
          <w:color w:val="0F2A43"/>
          <w:sz w:val="32"/>
        </w:rPr>
        <w:t>2. Catégories de données concernées</w:t>
      </w:r>
    </w:p>
    <w:tbl>
      <w:tblPr>
        <w:tblW w:type="auto" w:w="0"/>
        <w:jc w:val="center"/>
        <w:tblLayout w:type="fixed"/>
        <w:tblLook w:firstColumn="1" w:firstRow="1" w:lastColumn="0" w:lastRow="0" w:noHBand="0" w:noVBand="1" w:val="04A0"/>
        <w:tblBorders>
          <w:top w:val="single" w:sz="4" w:space="0" w:color="CBD9DD"/>
          <w:left w:val="single" w:sz="4" w:space="0" w:color="CBD9DD"/>
          <w:bottom w:val="single" w:sz="4" w:space="0" w:color="CBD9DD"/>
          <w:right w:val="single" w:sz="4" w:space="0" w:color="CBD9DD"/>
          <w:insideH w:val="single" w:sz="4" w:space="0" w:color="CBD9DD"/>
          <w:insideV w:val="single" w:sz="4" w:space="0" w:color="CBD9DD"/>
        </w:tblBorders>
      </w:tblPr>
      <w:tblGrid>
        <w:gridCol w:w="3324"/>
        <w:gridCol w:w="3324"/>
        <w:gridCol w:w="3324"/>
      </w:tblGrid>
      <w:tr>
        <w:tc>
          <w:tcPr>
            <w:tcW w:type="dxa" w:w="2381"/>
            <w:shd w:val="clear" w:color="auto" w:fill="127A8A"/>
            <w:tcMar>
              <w:top w:w="55" w:type="dxa"/>
              <w:bottom w:w="55" w:type="dxa"/>
              <w:start w:w="95" w:type="dxa"/>
              <w:end w:w="95" w:type="dxa"/>
            </w:tcMar>
            <w:vAlign w:val="center"/>
          </w:tcPr>
          <w:p>
            <w:pPr>
              <w:spacing w:after="20"/>
            </w:pPr>
            <w:r>
              <w:rPr>
                <w:b/>
                <w:color w:val="FFFFFF"/>
                <w:sz w:val="21"/>
              </w:rPr>
              <w:t>Catégorie</w:t>
            </w:r>
          </w:p>
        </w:tc>
        <w:tc>
          <w:tcPr>
            <w:tcW w:type="dxa" w:w="3969"/>
            <w:shd w:val="clear" w:color="auto" w:fill="127A8A"/>
            <w:tcMar>
              <w:top w:w="55" w:type="dxa"/>
              <w:bottom w:w="55" w:type="dxa"/>
              <w:start w:w="95" w:type="dxa"/>
              <w:end w:w="95" w:type="dxa"/>
            </w:tcMar>
            <w:vAlign w:val="center"/>
          </w:tcPr>
          <w:p>
            <w:pPr>
              <w:spacing w:after="20"/>
            </w:pPr>
            <w:r>
              <w:rPr>
                <w:b/>
                <w:color w:val="FFFFFF"/>
                <w:sz w:val="21"/>
              </w:rPr>
              <w:t>Exemples</w:t>
            </w:r>
          </w:p>
        </w:tc>
        <w:tc>
          <w:tcPr>
            <w:tcW w:type="dxa" w:w="2268"/>
            <w:shd w:val="clear" w:color="auto" w:fill="127A8A"/>
            <w:tcMar>
              <w:top w:w="55" w:type="dxa"/>
              <w:bottom w:w="55" w:type="dxa"/>
              <w:start w:w="95" w:type="dxa"/>
              <w:end w:w="95" w:type="dxa"/>
            </w:tcMar>
            <w:vAlign w:val="center"/>
          </w:tcPr>
          <w:p>
            <w:pPr>
              <w:spacing w:after="20"/>
            </w:pPr>
            <w:r>
              <w:rPr>
                <w:b/>
                <w:color w:val="FFFFFF"/>
                <w:sz w:val="21"/>
              </w:rPr>
              <w:t>Sensibilité</w:t>
            </w:r>
          </w:p>
        </w:tc>
      </w:tr>
      <w:tr>
        <w:tc>
          <w:tcPr>
            <w:tcW w:type="dxa" w:w="2381"/>
            <w:tcMar>
              <w:top w:w="55" w:type="dxa"/>
              <w:bottom w:w="55" w:type="dxa"/>
              <w:start w:w="95" w:type="dxa"/>
              <w:end w:w="95" w:type="dxa"/>
            </w:tcMar>
            <w:vAlign w:val="center"/>
          </w:tcPr>
          <w:p>
            <w:pPr>
              <w:spacing w:after="20"/>
            </w:pPr>
            <w:r>
              <w:rPr>
                <w:b/>
                <w:sz w:val="20"/>
              </w:rPr>
              <w:t>Identité déclarative</w:t>
            </w:r>
          </w:p>
        </w:tc>
        <w:tc>
          <w:tcPr>
            <w:tcW w:type="dxa" w:w="3969"/>
            <w:tcMar>
              <w:top w:w="55" w:type="dxa"/>
              <w:bottom w:w="55" w:type="dxa"/>
              <w:start w:w="95" w:type="dxa"/>
              <w:end w:w="95" w:type="dxa"/>
            </w:tcMar>
            <w:vAlign w:val="center"/>
          </w:tcPr>
          <w:p>
            <w:pPr>
              <w:spacing w:after="20"/>
            </w:pPr>
            <w:r>
              <w:rPr>
                <w:sz w:val="20"/>
              </w:rPr>
              <w:t>Nom, e-mail, ville, numéro de téléphone</w:t>
            </w:r>
          </w:p>
        </w:tc>
        <w:tc>
          <w:tcPr>
            <w:tcW w:type="dxa" w:w="2268"/>
            <w:tcMar>
              <w:top w:w="55" w:type="dxa"/>
              <w:bottom w:w="55" w:type="dxa"/>
              <w:start w:w="95" w:type="dxa"/>
              <w:end w:w="95" w:type="dxa"/>
            </w:tcMar>
            <w:vAlign w:val="center"/>
          </w:tcPr>
          <w:p>
            <w:pPr>
              <w:spacing w:after="20"/>
            </w:pPr>
            <w:r>
              <w:rPr>
                <w:sz w:val="20"/>
              </w:rPr>
              <w:t>Données personnelles (PII)</w:t>
            </w:r>
          </w:p>
        </w:tc>
      </w:tr>
      <w:tr>
        <w:tc>
          <w:tcPr>
            <w:tcW w:type="dxa" w:w="2381"/>
            <w:tcMar>
              <w:top w:w="55" w:type="dxa"/>
              <w:bottom w:w="55" w:type="dxa"/>
              <w:start w:w="95" w:type="dxa"/>
              <w:end w:w="95" w:type="dxa"/>
            </w:tcMar>
            <w:vAlign w:val="center"/>
            <w:shd w:val="clear" w:color="auto" w:fill="F5F8F9"/>
          </w:tcPr>
          <w:p>
            <w:pPr>
              <w:spacing w:after="20"/>
            </w:pPr>
            <w:r>
              <w:rPr>
                <w:b/>
                <w:sz w:val="20"/>
              </w:rPr>
              <w:t>Données comportementales</w:t>
            </w:r>
          </w:p>
        </w:tc>
        <w:tc>
          <w:tcPr>
            <w:tcW w:type="dxa" w:w="3969"/>
            <w:tcMar>
              <w:top w:w="55" w:type="dxa"/>
              <w:bottom w:w="55" w:type="dxa"/>
              <w:start w:w="95" w:type="dxa"/>
              <w:end w:w="95" w:type="dxa"/>
            </w:tcMar>
            <w:vAlign w:val="center"/>
            <w:shd w:val="clear" w:color="auto" w:fill="F5F8F9"/>
          </w:tcPr>
          <w:p>
            <w:pPr>
              <w:spacing w:after="20"/>
            </w:pPr>
            <w:r>
              <w:rPr>
                <w:sz w:val="20"/>
              </w:rPr>
              <w:t>Historique d'achat, navigation, clics, panier</w:t>
            </w:r>
          </w:p>
        </w:tc>
        <w:tc>
          <w:tcPr>
            <w:tcW w:type="dxa" w:w="2268"/>
            <w:tcMar>
              <w:top w:w="55" w:type="dxa"/>
              <w:bottom w:w="55" w:type="dxa"/>
              <w:start w:w="95" w:type="dxa"/>
              <w:end w:w="95" w:type="dxa"/>
            </w:tcMar>
            <w:vAlign w:val="center"/>
            <w:shd w:val="clear" w:color="auto" w:fill="F5F8F9"/>
          </w:tcPr>
          <w:p>
            <w:pPr>
              <w:spacing w:after="20"/>
            </w:pPr>
            <w:r>
              <w:rPr>
                <w:sz w:val="20"/>
              </w:rPr>
              <w:t>Personnelles</w:t>
            </w:r>
          </w:p>
        </w:tc>
      </w:tr>
      <w:tr>
        <w:tc>
          <w:tcPr>
            <w:tcW w:type="dxa" w:w="2381"/>
            <w:tcMar>
              <w:top w:w="55" w:type="dxa"/>
              <w:bottom w:w="55" w:type="dxa"/>
              <w:start w:w="95" w:type="dxa"/>
              <w:end w:w="95" w:type="dxa"/>
            </w:tcMar>
            <w:vAlign w:val="center"/>
          </w:tcPr>
          <w:p>
            <w:pPr>
              <w:spacing w:after="20"/>
            </w:pPr>
            <w:r>
              <w:rPr>
                <w:b/>
                <w:sz w:val="20"/>
              </w:rPr>
              <w:t>Données calculées</w:t>
            </w:r>
          </w:p>
        </w:tc>
        <w:tc>
          <w:tcPr>
            <w:tcW w:type="dxa" w:w="3969"/>
            <w:tcMar>
              <w:top w:w="55" w:type="dxa"/>
              <w:bottom w:w="55" w:type="dxa"/>
              <w:start w:w="95" w:type="dxa"/>
              <w:end w:w="95" w:type="dxa"/>
            </w:tcMar>
            <w:vAlign w:val="center"/>
          </w:tcPr>
          <w:p>
            <w:pPr>
              <w:spacing w:after="20"/>
            </w:pPr>
            <w:r>
              <w:rPr>
                <w:sz w:val="20"/>
              </w:rPr>
              <w:t>Score de churn, probabilité d'achat, segment</w:t>
            </w:r>
          </w:p>
        </w:tc>
        <w:tc>
          <w:tcPr>
            <w:tcW w:type="dxa" w:w="2268"/>
            <w:tcMar>
              <w:top w:w="55" w:type="dxa"/>
              <w:bottom w:w="55" w:type="dxa"/>
              <w:start w:w="95" w:type="dxa"/>
              <w:end w:w="95" w:type="dxa"/>
            </w:tcMar>
            <w:vAlign w:val="center"/>
          </w:tcPr>
          <w:p>
            <w:pPr>
              <w:spacing w:after="20"/>
            </w:pPr>
            <w:r>
              <w:rPr>
                <w:sz w:val="20"/>
              </w:rPr>
              <w:t>Personnelles (profilage)</w:t>
            </w:r>
          </w:p>
        </w:tc>
      </w:tr>
      <w:tr>
        <w:tc>
          <w:tcPr>
            <w:tcW w:type="dxa" w:w="2381"/>
            <w:tcMar>
              <w:top w:w="55" w:type="dxa"/>
              <w:bottom w:w="55" w:type="dxa"/>
              <w:start w:w="95" w:type="dxa"/>
              <w:end w:w="95" w:type="dxa"/>
            </w:tcMar>
            <w:vAlign w:val="center"/>
            <w:shd w:val="clear" w:color="auto" w:fill="F5F8F9"/>
          </w:tcPr>
          <w:p>
            <w:pPr>
              <w:spacing w:after="20"/>
            </w:pPr>
            <w:r>
              <w:rPr>
                <w:b/>
                <w:sz w:val="20"/>
              </w:rPr>
              <w:t>Données transactionnelles</w:t>
            </w:r>
          </w:p>
        </w:tc>
        <w:tc>
          <w:tcPr>
            <w:tcW w:type="dxa" w:w="3969"/>
            <w:tcMar>
              <w:top w:w="55" w:type="dxa"/>
              <w:bottom w:w="55" w:type="dxa"/>
              <w:start w:w="95" w:type="dxa"/>
              <w:end w:w="95" w:type="dxa"/>
            </w:tcMar>
            <w:vAlign w:val="center"/>
            <w:shd w:val="clear" w:color="auto" w:fill="F5F8F9"/>
          </w:tcPr>
          <w:p>
            <w:pPr>
              <w:spacing w:after="20"/>
            </w:pPr>
            <w:r>
              <w:rPr>
                <w:sz w:val="20"/>
              </w:rPr>
              <w:t>Montants, moyens de paiement, dates</w:t>
            </w:r>
          </w:p>
        </w:tc>
        <w:tc>
          <w:tcPr>
            <w:tcW w:type="dxa" w:w="2268"/>
            <w:tcMar>
              <w:top w:w="55" w:type="dxa"/>
              <w:bottom w:w="55" w:type="dxa"/>
              <w:start w:w="95" w:type="dxa"/>
              <w:end w:w="95" w:type="dxa"/>
            </w:tcMar>
            <w:vAlign w:val="center"/>
            <w:shd w:val="clear" w:color="auto" w:fill="F5F8F9"/>
          </w:tcPr>
          <w:p>
            <w:pPr>
              <w:spacing w:after="20"/>
            </w:pPr>
            <w:r>
              <w:rPr>
                <w:sz w:val="20"/>
              </w:rPr>
              <w:t>Personnelles / financières</w:t>
            </w:r>
          </w:p>
        </w:tc>
      </w:tr>
    </w:tbl>
    <w:p>
      <w:pPr>
        <w:spacing w:after="80"/>
      </w:pPr>
    </w:p>
    <w:p>
      <w:pPr>
        <w:spacing w:before="280" w:after="100"/>
        <w:pBdr>
          <w:bottom w:val="single" w:sz="18" w:space="4" w:color="127A8A"/>
        </w:pBdr>
      </w:pPr>
      <w:r>
        <w:rPr>
          <w:b/>
          <w:color w:val="0F2A43"/>
          <w:sz w:val="32"/>
        </w:rPr>
        <w:t>3. Principes RGPD appliqués</w:t>
      </w:r>
    </w:p>
    <w:p>
      <w:pPr>
        <w:pStyle w:val="ListBullet"/>
      </w:pPr>
      <w:r>
        <w:t>Licéité et finalité : les données ne servent qu'aux finalités définies (optimisation prix, prévision, recommandation).</w:t>
      </w:r>
    </w:p>
    <w:p>
      <w:pPr>
        <w:pStyle w:val="ListBullet"/>
      </w:pPr>
      <w:r>
        <w:t>Minimisation : seules les données nécessaires aux modèles sont collectées.</w:t>
      </w:r>
    </w:p>
    <w:p>
      <w:pPr>
        <w:pStyle w:val="ListBullet"/>
      </w:pPr>
      <w:r>
        <w:t>Consentement : recueil du consentement explicite du client pour l'usage de ses données comportementales.</w:t>
      </w:r>
    </w:p>
    <w:p>
      <w:pPr>
        <w:pStyle w:val="ListBullet"/>
      </w:pPr>
      <w:r>
        <w:t>Transparence : information claire du client sur l'usage de ses données (politique de confidentialité).</w:t>
      </w:r>
    </w:p>
    <w:p>
      <w:pPr>
        <w:pStyle w:val="ListBullet"/>
      </w:pPr>
      <w:r>
        <w:t>Limitation de conservation : durée de conservation définie, puis suppression ou anonymisation.</w:t>
      </w:r>
    </w:p>
    <w:p>
      <w:pPr>
        <w:pStyle w:val="ListBullet"/>
      </w:pPr>
      <w:r>
        <w:t>Exactitude : mise à jour et correction des données sur demande.</w:t>
      </w:r>
    </w:p>
    <w:p>
      <w:pPr>
        <w:spacing w:before="280" w:after="100"/>
        <w:pBdr>
          <w:bottom w:val="single" w:sz="18" w:space="4" w:color="127A8A"/>
        </w:pBdr>
      </w:pPr>
      <w:r>
        <w:rPr>
          <w:b/>
          <w:color w:val="0F2A43"/>
          <w:sz w:val="32"/>
        </w:rPr>
        <w:t>4. Droits des personnes garantis</w:t>
      </w:r>
    </w:p>
    <w:tbl>
      <w:tblPr>
        <w:tblW w:type="auto" w:w="0"/>
        <w:jc w:val="center"/>
        <w:tblLayout w:type="fixed"/>
        <w:tblLook w:firstColumn="1" w:firstRow="1" w:lastColumn="0" w:lastRow="0" w:noHBand="0" w:noVBand="1" w:val="04A0"/>
        <w:tblBorders>
          <w:top w:val="single" w:sz="4" w:space="0" w:color="CBD9DD"/>
          <w:left w:val="single" w:sz="4" w:space="0" w:color="CBD9DD"/>
          <w:bottom w:val="single" w:sz="4" w:space="0" w:color="CBD9DD"/>
          <w:right w:val="single" w:sz="4" w:space="0" w:color="CBD9DD"/>
          <w:insideH w:val="single" w:sz="4" w:space="0" w:color="CBD9DD"/>
          <w:insideV w:val="single" w:sz="4" w:space="0" w:color="CBD9DD"/>
        </w:tblBorders>
      </w:tblPr>
      <w:tblGrid>
        <w:gridCol w:w="4986"/>
        <w:gridCol w:w="4986"/>
      </w:tblGrid>
      <w:tr>
        <w:tc>
          <w:tcPr>
            <w:tcW w:type="dxa" w:w="3118"/>
            <w:shd w:val="clear" w:color="auto" w:fill="127A8A"/>
            <w:tcMar>
              <w:top w:w="55" w:type="dxa"/>
              <w:bottom w:w="55" w:type="dxa"/>
              <w:start w:w="95" w:type="dxa"/>
              <w:end w:w="95" w:type="dxa"/>
            </w:tcMar>
            <w:vAlign w:val="center"/>
          </w:tcPr>
          <w:p>
            <w:pPr>
              <w:spacing w:after="20"/>
            </w:pPr>
            <w:r>
              <w:rPr>
                <w:b/>
                <w:color w:val="FFFFFF"/>
                <w:sz w:val="21"/>
              </w:rPr>
              <w:t>Droit</w:t>
            </w:r>
          </w:p>
        </w:tc>
        <w:tc>
          <w:tcPr>
            <w:tcW w:type="dxa" w:w="5499"/>
            <w:shd w:val="clear" w:color="auto" w:fill="127A8A"/>
            <w:tcMar>
              <w:top w:w="55" w:type="dxa"/>
              <w:bottom w:w="55" w:type="dxa"/>
              <w:start w:w="95" w:type="dxa"/>
              <w:end w:w="95" w:type="dxa"/>
            </w:tcMar>
            <w:vAlign w:val="center"/>
          </w:tcPr>
          <w:p>
            <w:pPr>
              <w:spacing w:after="20"/>
            </w:pPr>
            <w:r>
              <w:rPr>
                <w:b/>
                <w:color w:val="FFFFFF"/>
                <w:sz w:val="21"/>
              </w:rPr>
              <w:t>Mise en œuvre dans le système</w:t>
            </w:r>
          </w:p>
        </w:tc>
      </w:tr>
      <w:tr>
        <w:tc>
          <w:tcPr>
            <w:tcW w:type="dxa" w:w="3118"/>
            <w:tcMar>
              <w:top w:w="55" w:type="dxa"/>
              <w:bottom w:w="55" w:type="dxa"/>
              <w:start w:w="95" w:type="dxa"/>
              <w:end w:w="95" w:type="dxa"/>
            </w:tcMar>
            <w:vAlign w:val="center"/>
          </w:tcPr>
          <w:p>
            <w:pPr>
              <w:spacing w:after="20"/>
            </w:pPr>
            <w:r>
              <w:rPr>
                <w:b/>
                <w:sz w:val="20"/>
              </w:rPr>
              <w:t>Droit d'accès</w:t>
            </w:r>
          </w:p>
        </w:tc>
        <w:tc>
          <w:tcPr>
            <w:tcW w:type="dxa" w:w="5499"/>
            <w:tcMar>
              <w:top w:w="55" w:type="dxa"/>
              <w:bottom w:w="55" w:type="dxa"/>
              <w:start w:w="95" w:type="dxa"/>
              <w:end w:w="95" w:type="dxa"/>
            </w:tcMar>
            <w:vAlign w:val="center"/>
          </w:tcPr>
          <w:p>
            <w:pPr>
              <w:spacing w:after="20"/>
            </w:pPr>
            <w:r>
              <w:rPr>
                <w:sz w:val="20"/>
              </w:rPr>
              <w:t>Le client peut consulter les données détenues à son sujet</w:t>
            </w:r>
          </w:p>
        </w:tc>
      </w:tr>
      <w:tr>
        <w:tc>
          <w:tcPr>
            <w:tcW w:type="dxa" w:w="3118"/>
            <w:tcMar>
              <w:top w:w="55" w:type="dxa"/>
              <w:bottom w:w="55" w:type="dxa"/>
              <w:start w:w="95" w:type="dxa"/>
              <w:end w:w="95" w:type="dxa"/>
            </w:tcMar>
            <w:vAlign w:val="center"/>
            <w:shd w:val="clear" w:color="auto" w:fill="F5F8F9"/>
          </w:tcPr>
          <w:p>
            <w:pPr>
              <w:spacing w:after="20"/>
            </w:pPr>
            <w:r>
              <w:rPr>
                <w:b/>
                <w:sz w:val="20"/>
              </w:rPr>
              <w:t>Droit de rectification</w:t>
            </w:r>
          </w:p>
        </w:tc>
        <w:tc>
          <w:tcPr>
            <w:tcW w:type="dxa" w:w="5499"/>
            <w:tcMar>
              <w:top w:w="55" w:type="dxa"/>
              <w:bottom w:w="55" w:type="dxa"/>
              <w:start w:w="95" w:type="dxa"/>
              <w:end w:w="95" w:type="dxa"/>
            </w:tcMar>
            <w:vAlign w:val="center"/>
            <w:shd w:val="clear" w:color="auto" w:fill="F5F8F9"/>
          </w:tcPr>
          <w:p>
            <w:pPr>
              <w:spacing w:after="20"/>
            </w:pPr>
            <w:r>
              <w:rPr>
                <w:sz w:val="20"/>
              </w:rPr>
              <w:t>Correction des données inexactes sur demande</w:t>
            </w:r>
          </w:p>
        </w:tc>
      </w:tr>
      <w:tr>
        <w:tc>
          <w:tcPr>
            <w:tcW w:type="dxa" w:w="3118"/>
            <w:tcMar>
              <w:top w:w="55" w:type="dxa"/>
              <w:bottom w:w="55" w:type="dxa"/>
              <w:start w:w="95" w:type="dxa"/>
              <w:end w:w="95" w:type="dxa"/>
            </w:tcMar>
            <w:vAlign w:val="center"/>
          </w:tcPr>
          <w:p>
            <w:pPr>
              <w:spacing w:after="20"/>
            </w:pPr>
            <w:r>
              <w:rPr>
                <w:b/>
                <w:sz w:val="20"/>
              </w:rPr>
              <w:t>Droit à l'effacement (oubli)</w:t>
            </w:r>
          </w:p>
        </w:tc>
        <w:tc>
          <w:tcPr>
            <w:tcW w:type="dxa" w:w="5499"/>
            <w:tcMar>
              <w:top w:w="55" w:type="dxa"/>
              <w:bottom w:w="55" w:type="dxa"/>
              <w:start w:w="95" w:type="dxa"/>
              <w:end w:w="95" w:type="dxa"/>
            </w:tcMar>
            <w:vAlign w:val="center"/>
          </w:tcPr>
          <w:p>
            <w:pPr>
              <w:spacing w:after="20"/>
            </w:pPr>
            <w:r>
              <w:rPr>
                <w:sz w:val="20"/>
              </w:rPr>
              <w:t>Suppression des données sur demande</w:t>
            </w:r>
          </w:p>
        </w:tc>
      </w:tr>
      <w:tr>
        <w:tc>
          <w:tcPr>
            <w:tcW w:type="dxa" w:w="3118"/>
            <w:tcMar>
              <w:top w:w="55" w:type="dxa"/>
              <w:bottom w:w="55" w:type="dxa"/>
              <w:start w:w="95" w:type="dxa"/>
              <w:end w:w="95" w:type="dxa"/>
            </w:tcMar>
            <w:vAlign w:val="center"/>
            <w:shd w:val="clear" w:color="auto" w:fill="F5F8F9"/>
          </w:tcPr>
          <w:p>
            <w:pPr>
              <w:spacing w:after="20"/>
            </w:pPr>
            <w:r>
              <w:rPr>
                <w:b/>
                <w:sz w:val="20"/>
              </w:rPr>
              <w:t>Droit à la portabilité</w:t>
            </w:r>
          </w:p>
        </w:tc>
        <w:tc>
          <w:tcPr>
            <w:tcW w:type="dxa" w:w="5499"/>
            <w:tcMar>
              <w:top w:w="55" w:type="dxa"/>
              <w:bottom w:w="55" w:type="dxa"/>
              <w:start w:w="95" w:type="dxa"/>
              <w:end w:w="95" w:type="dxa"/>
            </w:tcMar>
            <w:vAlign w:val="center"/>
            <w:shd w:val="clear" w:color="auto" w:fill="F5F8F9"/>
          </w:tcPr>
          <w:p>
            <w:pPr>
              <w:spacing w:after="20"/>
            </w:pPr>
            <w:r>
              <w:rPr>
                <w:sz w:val="20"/>
              </w:rPr>
              <w:t>Export des données dans un format réutilisable</w:t>
            </w:r>
          </w:p>
        </w:tc>
      </w:tr>
      <w:tr>
        <w:tc>
          <w:tcPr>
            <w:tcW w:type="dxa" w:w="3118"/>
            <w:tcMar>
              <w:top w:w="55" w:type="dxa"/>
              <w:bottom w:w="55" w:type="dxa"/>
              <w:start w:w="95" w:type="dxa"/>
              <w:end w:w="95" w:type="dxa"/>
            </w:tcMar>
            <w:vAlign w:val="center"/>
          </w:tcPr>
          <w:p>
            <w:pPr>
              <w:spacing w:after="20"/>
            </w:pPr>
            <w:r>
              <w:rPr>
                <w:b/>
                <w:sz w:val="20"/>
              </w:rPr>
              <w:t>Droit d'opposition</w:t>
            </w:r>
          </w:p>
        </w:tc>
        <w:tc>
          <w:tcPr>
            <w:tcW w:type="dxa" w:w="5499"/>
            <w:tcMar>
              <w:top w:w="55" w:type="dxa"/>
              <w:bottom w:w="55" w:type="dxa"/>
              <w:start w:w="95" w:type="dxa"/>
              <w:end w:w="95" w:type="dxa"/>
            </w:tcMar>
            <w:vAlign w:val="center"/>
          </w:tcPr>
          <w:p>
            <w:pPr>
              <w:spacing w:after="20"/>
            </w:pPr>
            <w:r>
              <w:rPr>
                <w:sz w:val="20"/>
              </w:rPr>
              <w:t>Refus du profilage / des recommandations personnalisées</w:t>
            </w:r>
          </w:p>
        </w:tc>
      </w:tr>
    </w:tbl>
    <w:p>
      <w:pPr>
        <w:spacing w:after="80"/>
      </w:pPr>
    </w:p>
    <w:p>
      <w:pPr>
        <w:spacing w:before="280" w:after="100"/>
        <w:pBdr>
          <w:bottom w:val="single" w:sz="18" w:space="4" w:color="127A8A"/>
        </w:pBdr>
      </w:pPr>
      <w:r>
        <w:rPr>
          <w:b/>
          <w:color w:val="0F2A43"/>
          <w:sz w:val="32"/>
        </w:rPr>
        <w:t>5. Mesures techniques et organisationnelles</w:t>
      </w:r>
    </w:p>
    <w:p>
      <w:r>
        <w:rPr>
          <w:color w:val="0F2A43"/>
          <w:sz w:val="22"/>
        </w:rPr>
        <w:t>Mesures techniques :</w:t>
      </w:r>
    </w:p>
    <w:p>
      <w:pPr>
        <w:pStyle w:val="ListBullet"/>
      </w:pPr>
      <w:r>
        <w:t>Chiffrement des données au repos (AES-256) et en transit (TLS 1.3).</w:t>
      </w:r>
    </w:p>
    <w:p>
      <w:pPr>
        <w:pStyle w:val="ListBullet"/>
      </w:pPr>
      <w:r>
        <w:t>Pseudonymisation / anonymisation des identifiants clients dans les jeux d'entraînement.</w:t>
      </w:r>
    </w:p>
    <w:p>
      <w:pPr>
        <w:pStyle w:val="ListBullet"/>
      </w:pPr>
      <w:r>
        <w:t>Contrôle d'accès basé sur les rôles (RBAC) aux bases et dashboards.</w:t>
      </w:r>
    </w:p>
    <w:p>
      <w:pPr>
        <w:pStyle w:val="ListBullet"/>
      </w:pPr>
      <w:r>
        <w:t>Journalisation des accès et traçabilité des traitements.</w:t>
      </w:r>
    </w:p>
    <w:p>
      <w:r>
        <w:rPr>
          <w:color w:val="0F2A43"/>
          <w:sz w:val="22"/>
        </w:rPr>
        <w:t>Mesures organisationnelles :</w:t>
      </w:r>
    </w:p>
    <w:p>
      <w:pPr>
        <w:pStyle w:val="ListBullet"/>
      </w:pPr>
      <w:r>
        <w:t>Désignation des rôles de gouvernance : Data Owner, Data Steward, et référent DPO.</w:t>
      </w:r>
    </w:p>
    <w:p>
      <w:pPr>
        <w:pStyle w:val="ListBullet"/>
      </w:pPr>
      <w:r>
        <w:t>Registre des traitements tenu à jour.</w:t>
      </w:r>
    </w:p>
    <w:p>
      <w:pPr>
        <w:pStyle w:val="ListBullet"/>
      </w:pPr>
      <w:r>
        <w:t>Sensibilisation de l'équipe à la protection des données.</w:t>
      </w:r>
    </w:p>
    <w:p>
      <w:pPr>
        <w:pStyle w:val="ListBullet"/>
      </w:pPr>
      <w:r>
        <w:t>Procédure de notification en cas de violation (sous 72 h).</w:t>
      </w:r>
    </w:p>
    <w:p>
      <w:pPr>
        <w:spacing w:before="280" w:after="100"/>
        <w:pBdr>
          <w:bottom w:val="single" w:sz="18" w:space="4" w:color="127A8A"/>
        </w:pBdr>
      </w:pPr>
      <w:r>
        <w:rPr>
          <w:b/>
          <w:color w:val="0F2A43"/>
          <w:sz w:val="32"/>
        </w:rPr>
        <w:t>6. Point de vigilance : décision automatisée et biais</w:t>
      </w:r>
    </w:p>
    <w:p>
      <w:r>
        <w:rPr>
          <w:sz w:val="22"/>
        </w:rPr>
        <w:t>Les modèles de scoring (churn, crédit) et de recommandation relèvent du profilage. L'article 22 du RGPD encadre les décisions entièrement automatisées. Mesures prévues :</w:t>
      </w:r>
    </w:p>
    <w:p>
      <w:pPr>
        <w:pStyle w:val="ListBullet"/>
      </w:pPr>
      <w:r>
        <w:t>Maintien d'une supervision humaine sur les décisions sensibles (ex. octroi de crédit).</w:t>
      </w:r>
    </w:p>
    <w:p>
      <w:pPr>
        <w:pStyle w:val="ListBullet"/>
      </w:pPr>
      <w:r>
        <w:t>Contrôle et mitigation des biais algorithmiques (équité entre segments de clients).</w:t>
      </w:r>
    </w:p>
    <w:p>
      <w:pPr>
        <w:pStyle w:val="ListBullet"/>
      </w:pPr>
      <w:r>
        <w:t>Explicabilité des recommandations et des scores fournis aux clients qui en font la demande.</w:t>
      </w:r>
    </w:p>
    <w:p>
      <w:pPr>
        <w:spacing w:before="280" w:after="100"/>
        <w:pBdr>
          <w:bottom w:val="single" w:sz="18" w:space="4" w:color="127A8A"/>
        </w:pBdr>
      </w:pPr>
      <w:r>
        <w:rPr>
          <w:b/>
          <w:color w:val="0F2A43"/>
          <w:sz w:val="32"/>
        </w:rPr>
        <w:t>7. Conclusion</w:t>
      </w:r>
    </w:p>
    <w:p>
      <w:r>
        <w:rPr>
          <w:color w:val="0F2A43"/>
          <w:sz w:val="22"/>
        </w:rPr>
        <w:t>Le projet est conçu selon le principe de protection des données by design and by default. L'utilisation de données synthétiques élimine tout risque réel dans le cadre pédagogique, tout en démontrant une architecture et une gouvernance conformes au RGPD, prêtes pour un déploiement réel.</w:t>
      </w:r>
    </w:p>
    <w:sectPr w:rsidR="00FC693F" w:rsidRPr="0006063C" w:rsidSect="00034616">
      <w:footerReference w:type="default" r:id="rId9"/>
      <w:pgSz w:w="12240" w:h="15840"/>
      <w:pgMar w:top="1440" w:right="1134" w:bottom="144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 xml:space="preserve">Note RGPD — Teranga Market  |  Page </w:t>
    </w:r>
    <w:fldSimple w:instr="PAGE">
      <w:r>
        <w:rPr>
          <w:sz w:val="16"/>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