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9"/>
          <w:szCs w:val="49"/>
          <w:highlight w:val="white"/>
        </w:rPr>
      </w:pPr>
      <w:r w:rsidDel="00000000" w:rsidR="00000000" w:rsidRPr="00000000">
        <w:rPr>
          <w:b w:val="1"/>
          <w:sz w:val="49"/>
          <w:szCs w:val="49"/>
          <w:highlight w:val="white"/>
          <w:rtl w:val="0"/>
        </w:rPr>
        <w:t xml:space="preserve">Meeting with Emilia (Last2Ticket)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9"/>
          <w:szCs w:val="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Contact via email (ecosimões@last2ticket.com) and put the support email (support@last2ticket.com) as cc.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Variable prices depending on: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number of participants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number of features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event types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ticket types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private ticket types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invitations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There is no additional fee per ticket (fixed price)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Payment types: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MB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Visa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PayPal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If we don't have the budget to pay Last2Ticket, we can charge visitors (although not common in conferences)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It is crucial to decide who will issue a ticketing invoice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Last2Ticket can issue invoices, but a legal entity must be behind it (AE, for example) to settle accounts at the end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We can create a trial account to explore and then communicate with Last2Ticket when we want to subscribe to a plan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Possibility of a 3-month plan, but only two are charged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