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atendimento jurídico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Tem como objetivo fazer a escuta das demandas trazidas oferecendo orientação ao público, bem como propondo a melhor solução para o conflito.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Áreas de atuação: Criminalista, Vara de família, Trabalhista e Defesa do Consumidor.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Assim fortalecendo o acesso aos Direitos dos moradores do Complexo de Favelas do Alemão e entorno.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12121"/>
          <w:sz w:val="24"/>
          <w:szCs w:val="24"/>
          <w:highlight w:val="white"/>
          <w:rtl w:val="0"/>
        </w:rPr>
        <w:t xml:space="preserve">Dias de atendimento: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aos sábados.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12121"/>
          <w:sz w:val="24"/>
          <w:szCs w:val="24"/>
          <w:highlight w:val="white"/>
          <w:rtl w:val="0"/>
        </w:rPr>
        <w:t xml:space="preserve">Horário: 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de 13h às 17h.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