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Helvetica Neue" w:cs="Helvetica Neue" w:eastAsia="Helvetica Neue" w:hAnsi="Helvetica Neue"/>
              <w:b w:val="1"/>
              <w:color w:val="1d2129"/>
              <w:sz w:val="36"/>
              <w:szCs w:val="36"/>
              <w:highlight w:val="whit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color w:val="1d2129"/>
              <w:sz w:val="36"/>
              <w:szCs w:val="36"/>
              <w:highlight w:val="white"/>
              <w:rtl w:val="0"/>
            </w:rPr>
            <w:t xml:space="preserve">Momento Mulher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  <w:rtl w:val="0"/>
            </w:rPr>
            <w:t xml:space="preserve"> </w:t>
          </w:r>
          <w:r w:rsidDel="00000000" w:rsidR="00000000" w:rsidRPr="00000000"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  <w:rtl w:val="0"/>
            </w:rPr>
            <w:t xml:space="preserve">Contribuirá no enfrentamento da violência intrafamiliar e comunitária através formação de um grupo de multiplicadoras na técnica de Medição de Conflito.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  <w:rtl w:val="0"/>
            </w:rPr>
            <w:t xml:space="preserve">.Democratizar o acesso aos meios de comunicação moderna, incentivando o desenvolvimento dos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  <w:rtl w:val="0"/>
            </w:rPr>
            <w:t xml:space="preserve">processos cognitivos, sociais e afetivos dessas mulheres com cidadania e informatização.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  <w:rtl w:val="0"/>
            </w:rPr>
            <w:t xml:space="preserve">Específicos: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  <w:rtl w:val="0"/>
            </w:rPr>
            <w:t xml:space="preserve">.Possibilitar o acesso das às novas tecnologias da informação como forma de inclusão social;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  <w:rtl w:val="0"/>
            </w:rPr>
            <w:t xml:space="preserve">·Utilizar o computador como uma ferramenta de ensino e aprendizagem para o desenvolvimento,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  <w:rtl w:val="0"/>
            </w:rPr>
            <w:t xml:space="preserve">emponderamentos feminino, empreendedorismo e mercado de trabalho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  <w:rtl w:val="0"/>
            </w:rPr>
            <w:t xml:space="preserve">.Criar um aplicativo com uma linguagem da favela que facilite como rede de proteção e informação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  <w:rtl w:val="0"/>
            </w:rPr>
            <w:t xml:space="preserve">para as mulheres que sofrem violência.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  <w:rtl w:val="0"/>
            </w:rPr>
            <w:t xml:space="preserve">Dados do Mapa da Violência de 2015 mostram que entre 2003 e 2013, o número de vítimas de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  <w:rtl w:val="0"/>
            </w:rPr>
            <w:t xml:space="preserve">homicídio do sexo feminino passou de 3.937 para 4.762; um aumento de 21% na década.Aprendemos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  <w:rtl w:val="0"/>
            </w:rPr>
            <w:t xml:space="preserve">que a dependência econômica é um dos fatores que impedem as mulheres de reagir contra a violência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  <w:rtl w:val="0"/>
            </w:rPr>
            <w:t xml:space="preserve">doméstica. Portanto, a criação de canais de inserção no uso de tecnologia é parte de nossas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  <w:rtl w:val="0"/>
            </w:rPr>
            <w:t xml:space="preserve">ferramentas para capacitar 20 que emponderadas a atingir aproximadamente uma população de 8.000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  <w:rtl w:val="0"/>
            </w:rPr>
            <w:t xml:space="preserve">habitantes da Favela Matinha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Helvetica Neue" w:cs="Helvetica Neue" w:eastAsia="Helvetica Neue" w:hAnsi="Helvetica Neue"/>
              <w:color w:val="1d2129"/>
              <w:sz w:val="24"/>
              <w:szCs w:val="24"/>
              <w:highlight w:val="white"/>
            </w:rPr>
          </w:pPr>
          <w:hyperlink r:id="rId7"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highlight w:val="white"/>
                <w:u w:val="single"/>
                <w:rtl w:val="0"/>
              </w:rPr>
              <w:t xml:space="preserve">https://www.facebook.com/projeto.MomentoMulher/</w:t>
            </w:r>
          </w:hyperlink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025E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acebook.com/projeto.MomentoMulhe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3MH5RFlR+NrsD9W7U1Ca7eP/mg==">AMUW2mWn/1PRbLE4RfPekxP9QwgDu8vAnV3IhDj7dS10A3RmAs5NBTL0bn8dYl9PAoB4Ko/jKl8+fs0aqGYRbAAwhJ0aPX9dYDudVHo0tYoBsU12UfOgCr0=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2019-04-09T20:18:00Z</dcterms:created>
  <dc:creator>EDUCAP.25.10.17</dc:creator>
</cp:coreProperties>
</file>