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D57F14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D57F14">
        <w:rPr>
          <w:color w:val="333333"/>
          <w:lang w:val="de-AT"/>
        </w:rPr>
        <w:t>Minutes</w:t>
      </w:r>
      <w:proofErr w:type="spellEnd"/>
      <w:r w:rsidRPr="00D57F14">
        <w:rPr>
          <w:color w:val="333333"/>
          <w:lang w:val="de-AT"/>
        </w:rPr>
        <w:t xml:space="preserve"> </w:t>
      </w:r>
      <w:proofErr w:type="spellStart"/>
      <w:r w:rsidRPr="00D57F14">
        <w:rPr>
          <w:color w:val="333333"/>
          <w:lang w:val="de-AT"/>
        </w:rPr>
        <w:t>of</w:t>
      </w:r>
      <w:proofErr w:type="spellEnd"/>
      <w:r w:rsidRPr="00D57F14">
        <w:rPr>
          <w:color w:val="333333"/>
          <w:lang w:val="de-AT"/>
        </w:rPr>
        <w:t xml:space="preserve"> Meeting</w:t>
      </w:r>
    </w:p>
    <w:p w:rsidR="007662FB" w:rsidRPr="00D57F14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D57F14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Summary</w:t>
            </w:r>
          </w:p>
        </w:tc>
      </w:tr>
      <w:tr w:rsidR="007662FB" w:rsidRPr="00D57F14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57F14" w:rsidRDefault="00C2136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Fachberatung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D57F14" w:rsidRDefault="00C2136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29</w:t>
            </w:r>
            <w:r w:rsidR="009B7DA6" w:rsidRPr="00D57F14">
              <w:rPr>
                <w:color w:val="333333"/>
                <w:lang w:val="de-AT"/>
              </w:rPr>
              <w:t>.0</w:t>
            </w:r>
            <w:r w:rsidR="009B40D6">
              <w:rPr>
                <w:color w:val="333333"/>
                <w:lang w:val="de-AT"/>
              </w:rPr>
              <w:t>5</w:t>
            </w:r>
            <w:r w:rsidR="009B7DA6" w:rsidRPr="00D57F14">
              <w:rPr>
                <w:color w:val="333333"/>
                <w:lang w:val="de-AT"/>
              </w:rPr>
              <w:t>.2018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From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10:00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</w:t>
            </w:r>
            <w:r w:rsidR="00C21361">
              <w:rPr>
                <w:color w:val="333333"/>
                <w:lang w:val="de-AT"/>
              </w:rPr>
              <w:t>45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D57F14" w:rsidRDefault="00C2136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Büro Ostermayer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Taker</w:t>
            </w:r>
            <w:proofErr w:type="spellEnd"/>
            <w:r w:rsidRPr="00D57F14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0.</w:t>
            </w:r>
            <w:r w:rsidR="00C21361">
              <w:rPr>
                <w:color w:val="333333"/>
                <w:lang w:val="de-AT"/>
              </w:rPr>
              <w:t>7</w:t>
            </w:r>
            <w:r w:rsidRPr="00D57F14">
              <w:rPr>
                <w:color w:val="333333"/>
                <w:lang w:val="de-AT"/>
              </w:rPr>
              <w:t xml:space="preserve">5 </w:t>
            </w:r>
            <w:proofErr w:type="spellStart"/>
            <w:r w:rsidRPr="00D57F14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Agenda</w:t>
            </w:r>
          </w:p>
        </w:tc>
      </w:tr>
      <w:tr w:rsidR="007662FB" w:rsidRPr="00D57F14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C2136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1. </w:t>
            </w:r>
            <w:r w:rsidR="00C21361">
              <w:rPr>
                <w:rFonts w:cs="Arial"/>
                <w:color w:val="333333"/>
                <w:lang w:val="de-AT"/>
              </w:rPr>
              <w:t>Präsentation des EEGs und Schnittstelle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C2136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>2.</w:t>
            </w:r>
            <w:r w:rsidR="009B40D6">
              <w:rPr>
                <w:rFonts w:cs="Arial"/>
                <w:color w:val="333333"/>
                <w:lang w:val="de-AT"/>
              </w:rPr>
              <w:t xml:space="preserve"> </w:t>
            </w:r>
            <w:r w:rsidR="00C21361">
              <w:rPr>
                <w:rFonts w:cs="Arial"/>
                <w:color w:val="333333"/>
                <w:lang w:val="de-AT"/>
              </w:rPr>
              <w:t xml:space="preserve">Diskussion </w:t>
            </w:r>
            <w:r w:rsidR="009B40D6">
              <w:rPr>
                <w:rFonts w:cs="Arial"/>
                <w:color w:val="333333"/>
                <w:lang w:val="de-AT"/>
              </w:rPr>
              <w:t>de</w:t>
            </w:r>
            <w:r w:rsidR="00C21361">
              <w:rPr>
                <w:rFonts w:cs="Arial"/>
                <w:color w:val="333333"/>
                <w:lang w:val="de-AT"/>
              </w:rPr>
              <w:t>s Problems des Datenauslesen</w:t>
            </w:r>
            <w:r w:rsidR="00664745">
              <w:rPr>
                <w:rFonts w:cs="Arial"/>
                <w:color w:val="333333"/>
                <w:lang w:val="de-AT"/>
              </w:rPr>
              <w:t>s</w:t>
            </w:r>
            <w:r w:rsidR="00C21361">
              <w:rPr>
                <w:rFonts w:cs="Arial"/>
                <w:color w:val="333333"/>
                <w:lang w:val="de-AT"/>
              </w:rPr>
              <w:t xml:space="preserve"> </w:t>
            </w:r>
            <w:r w:rsidR="00664745">
              <w:rPr>
                <w:rFonts w:cs="Arial"/>
                <w:color w:val="333333"/>
                <w:lang w:val="de-AT"/>
              </w:rPr>
              <w:t>in</w:t>
            </w:r>
            <w:r w:rsidR="00C21361">
              <w:rPr>
                <w:rFonts w:cs="Arial"/>
                <w:color w:val="333333"/>
                <w:lang w:val="de-AT"/>
              </w:rPr>
              <w:t xml:space="preserve"> </w:t>
            </w:r>
            <w:proofErr w:type="spellStart"/>
            <w:r w:rsidR="00C21361">
              <w:rPr>
                <w:rFonts w:cs="Arial"/>
                <w:color w:val="333333"/>
                <w:lang w:val="de-AT"/>
              </w:rPr>
              <w:t>Matlab</w:t>
            </w:r>
            <w:proofErr w:type="spellEnd"/>
            <w:r w:rsidR="00C21361">
              <w:rPr>
                <w:rFonts w:cs="Arial"/>
                <w:color w:val="333333"/>
                <w:lang w:val="de-AT"/>
              </w:rPr>
              <w:t xml:space="preserve"> und</w:t>
            </w:r>
            <w:r w:rsidR="009B40D6">
              <w:rPr>
                <w:rFonts w:cs="Arial"/>
                <w:color w:val="333333"/>
                <w:lang w:val="de-AT"/>
              </w:rPr>
              <w:t xml:space="preserve"> </w:t>
            </w:r>
            <w:r w:rsidR="00664745">
              <w:rPr>
                <w:rFonts w:cs="Arial"/>
                <w:color w:val="333333"/>
                <w:lang w:val="de-AT"/>
              </w:rPr>
              <w:t xml:space="preserve">der </w:t>
            </w:r>
            <w:r w:rsidR="009B40D6">
              <w:rPr>
                <w:rFonts w:cs="Arial"/>
                <w:color w:val="333333"/>
                <w:lang w:val="de-AT"/>
              </w:rPr>
              <w:t>weiteren</w:t>
            </w:r>
            <w:r w:rsidR="00C21361">
              <w:rPr>
                <w:rFonts w:cs="Arial"/>
                <w:color w:val="333333"/>
                <w:lang w:val="de-AT"/>
              </w:rPr>
              <w:t xml:space="preserve"> </w:t>
            </w:r>
            <w:r w:rsidR="009B40D6">
              <w:rPr>
                <w:rFonts w:cs="Arial"/>
                <w:color w:val="333333"/>
                <w:lang w:val="de-AT"/>
              </w:rPr>
              <w:t>Vorgehensweise</w:t>
            </w: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proofErr w:type="spellStart"/>
            <w:r w:rsidRPr="00D57F14">
              <w:rPr>
                <w:b/>
                <w:lang w:val="de-AT"/>
              </w:rPr>
              <w:t>Attendee</w:t>
            </w:r>
            <w:proofErr w:type="spellEnd"/>
            <w:r w:rsidRPr="00D57F14">
              <w:rPr>
                <w:b/>
                <w:lang w:val="de-AT"/>
              </w:rPr>
              <w:t xml:space="preserve"> List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Present</w:t>
            </w:r>
            <w:proofErr w:type="spellEnd"/>
            <w:r w:rsidRPr="00D57F14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Reason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of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Dr. </w:t>
            </w:r>
            <w:r w:rsidR="00E56CA8">
              <w:rPr>
                <w:color w:val="333333"/>
                <w:lang w:val="de-AT"/>
              </w:rPr>
              <w:t>Gerald Ostermayer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E56CA8" w:rsidRPr="00D57F14" w:rsidTr="00782A7D">
        <w:tc>
          <w:tcPr>
            <w:tcW w:w="239" w:type="pct"/>
          </w:tcPr>
          <w:p w:rsidR="00E56CA8" w:rsidRPr="00D57F14" w:rsidRDefault="00E56CA8" w:rsidP="00E56CA8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E56CA8" w:rsidRPr="00D57F14" w:rsidRDefault="00E56CA8" w:rsidP="00E56CA8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E56CA8" w:rsidRPr="00D57F14" w:rsidRDefault="00E56CA8" w:rsidP="00E56CA8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E56CA8" w:rsidRPr="00D57F14" w:rsidRDefault="00E56CA8" w:rsidP="00E56CA8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3083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Meeting Notes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der gewonnen Erkenntnisse</w:t>
            </w:r>
          </w:p>
          <w:p w:rsidR="008B21AF" w:rsidRPr="00D57F14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Matlab</w:t>
            </w:r>
            <w:proofErr w:type="spellEnd"/>
            <w:r>
              <w:rPr>
                <w:color w:val="333333"/>
                <w:lang w:val="de-AT"/>
              </w:rPr>
              <w:t>-Skript, Versuchsabläufe mit messbaren Gesten</w:t>
            </w:r>
            <w:r w:rsidR="009B697C">
              <w:rPr>
                <w:color w:val="333333"/>
                <w:lang w:val="de-AT"/>
              </w:rPr>
              <w:t>, Zeitverläufe von bestimmten Gesten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:rsidR="007662FB" w:rsidRDefault="0035083D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Vergleich Electric Guru und eigenes </w:t>
            </w:r>
            <w:proofErr w:type="spellStart"/>
            <w:r>
              <w:rPr>
                <w:color w:val="333333"/>
                <w:lang w:val="de-AT"/>
              </w:rPr>
              <w:t>Matlab</w:t>
            </w:r>
            <w:proofErr w:type="spellEnd"/>
            <w:r>
              <w:rPr>
                <w:color w:val="333333"/>
                <w:lang w:val="de-AT"/>
              </w:rPr>
              <w:t>-Skript</w:t>
            </w:r>
            <w:r w:rsidR="003E0A21">
              <w:rPr>
                <w:color w:val="333333"/>
                <w:lang w:val="de-AT"/>
              </w:rPr>
              <w:t>s</w:t>
            </w:r>
            <w:r>
              <w:rPr>
                <w:color w:val="333333"/>
                <w:lang w:val="de-AT"/>
              </w:rPr>
              <w:t xml:space="preserve"> vom Projektteam</w:t>
            </w:r>
          </w:p>
          <w:p w:rsidR="0035083D" w:rsidRDefault="001261E0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Diskussion des </w:t>
            </w:r>
            <w:r w:rsidR="003E0A21">
              <w:rPr>
                <w:color w:val="333333"/>
                <w:lang w:val="de-AT"/>
              </w:rPr>
              <w:t>Zeitv</w:t>
            </w:r>
            <w:r>
              <w:rPr>
                <w:color w:val="333333"/>
                <w:lang w:val="de-AT"/>
              </w:rPr>
              <w:t>erlaufs</w:t>
            </w:r>
            <w:r w:rsidR="003E0A21">
              <w:rPr>
                <w:color w:val="333333"/>
                <w:lang w:val="de-AT"/>
              </w:rPr>
              <w:t xml:space="preserve"> des Signals</w:t>
            </w:r>
            <w:r>
              <w:rPr>
                <w:color w:val="333333"/>
                <w:lang w:val="de-AT"/>
              </w:rPr>
              <w:t xml:space="preserve"> in </w:t>
            </w:r>
            <w:proofErr w:type="spellStart"/>
            <w:r>
              <w:rPr>
                <w:color w:val="333333"/>
                <w:lang w:val="de-AT"/>
              </w:rPr>
              <w:t>Matlab</w:t>
            </w:r>
            <w:proofErr w:type="spellEnd"/>
          </w:p>
          <w:p w:rsidR="001261E0" w:rsidRDefault="002039E6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Schwierig, daraus Gesten auszulesen</w:t>
            </w:r>
          </w:p>
          <w:p w:rsidR="002039E6" w:rsidRDefault="002039E6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Weitere Vorgehensweise:</w:t>
            </w:r>
          </w:p>
          <w:p w:rsidR="002039E6" w:rsidRDefault="002039E6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2039E6">
              <w:rPr>
                <w:color w:val="333333"/>
                <w:lang w:val="de-AT"/>
              </w:rPr>
              <w:t xml:space="preserve">Folgen der Anleitung von </w:t>
            </w:r>
            <w:hyperlink r:id="rId5" w:history="1">
              <w:r w:rsidRPr="002039E6">
                <w:rPr>
                  <w:rStyle w:val="Hyperlink"/>
                  <w:lang w:val="de-AT"/>
                </w:rPr>
                <w:t>https://bakerdh.wordpress.com/2013/01/31/a-first-look-at-the-olimex-eeg-smt/</w:t>
              </w:r>
            </w:hyperlink>
          </w:p>
          <w:p w:rsidR="002039E6" w:rsidRDefault="002039E6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Verwendung der Library Psychotoolbox 3 zum Auslesen des COM-Ports</w:t>
            </w:r>
          </w:p>
          <w:p w:rsidR="002039E6" w:rsidRDefault="002039E6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Code zur Konvertierung des Rohsignals überprüfen</w:t>
            </w:r>
          </w:p>
          <w:p w:rsidR="002039E6" w:rsidRDefault="002039E6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Sammeln von vielen Samples, um erkennbare Eigenschaften zu extrahieren</w:t>
            </w:r>
          </w:p>
          <w:p w:rsidR="002039E6" w:rsidRDefault="002039E6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Betrachten beispielsweise von „nach links sehen“ </w:t>
            </w:r>
            <w:r w:rsidRPr="002039E6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wann geht Signal nach oben? Wann nach unten? Wie hoch? Welche Steigung? Damit eine Gestenerkennung vorgenommen werden kann</w:t>
            </w:r>
          </w:p>
          <w:p w:rsidR="002F192F" w:rsidRDefault="002F192F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Vergleichen der gesammelten Samples und erkennbare Gemeinsamkeiten</w:t>
            </w:r>
            <w:r w:rsidR="009C3077">
              <w:rPr>
                <w:color w:val="333333"/>
                <w:lang w:val="de-AT"/>
              </w:rPr>
              <w:t xml:space="preserve"> festhalten</w:t>
            </w:r>
          </w:p>
          <w:p w:rsidR="009C3077" w:rsidRPr="002039E6" w:rsidRDefault="009C3077" w:rsidP="002039E6">
            <w:pPr>
              <w:pStyle w:val="Listenabsatz"/>
              <w:numPr>
                <w:ilvl w:val="0"/>
                <w:numId w:val="4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Später: Korrelation, </w:t>
            </w:r>
            <w:proofErr w:type="spellStart"/>
            <w:r>
              <w:rPr>
                <w:color w:val="333333"/>
                <w:lang w:val="de-AT"/>
              </w:rPr>
              <w:t>Fourieranalyse</w:t>
            </w:r>
            <w:proofErr w:type="spellEnd"/>
            <w:r>
              <w:rPr>
                <w:color w:val="333333"/>
                <w:lang w:val="de-AT"/>
              </w:rPr>
              <w:t>, Schwellwerte, Steigung zur Gestendetektion verwenden</w:t>
            </w:r>
            <w:bookmarkStart w:id="0" w:name="_GoBack"/>
            <w:bookmarkEnd w:id="0"/>
          </w:p>
          <w:p w:rsidR="002039E6" w:rsidRPr="00682CBF" w:rsidRDefault="002039E6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Action Items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lastRenderedPageBreak/>
              <w:t>2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3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D57F14" w:rsidRDefault="00CC22D9">
      <w:pPr>
        <w:rPr>
          <w:lang w:val="de-AT"/>
        </w:rPr>
      </w:pPr>
    </w:p>
    <w:sectPr w:rsidR="00CC22D9" w:rsidRPr="00D57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598A"/>
    <w:multiLevelType w:val="hybridMultilevel"/>
    <w:tmpl w:val="8E282E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50B5"/>
    <w:multiLevelType w:val="hybridMultilevel"/>
    <w:tmpl w:val="096CBC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6904"/>
    <w:multiLevelType w:val="hybridMultilevel"/>
    <w:tmpl w:val="193A42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A0CE4"/>
    <w:rsid w:val="000B6DA1"/>
    <w:rsid w:val="000D3D5E"/>
    <w:rsid w:val="001261E0"/>
    <w:rsid w:val="00135210"/>
    <w:rsid w:val="001650A5"/>
    <w:rsid w:val="001C21F5"/>
    <w:rsid w:val="002039E6"/>
    <w:rsid w:val="0021312A"/>
    <w:rsid w:val="002C2DA2"/>
    <w:rsid w:val="002E5580"/>
    <w:rsid w:val="002F192F"/>
    <w:rsid w:val="00300014"/>
    <w:rsid w:val="00301960"/>
    <w:rsid w:val="0035083D"/>
    <w:rsid w:val="003E0A21"/>
    <w:rsid w:val="003E1F0B"/>
    <w:rsid w:val="004A6DFB"/>
    <w:rsid w:val="004C431D"/>
    <w:rsid w:val="00580115"/>
    <w:rsid w:val="005F286F"/>
    <w:rsid w:val="00613341"/>
    <w:rsid w:val="00623D3E"/>
    <w:rsid w:val="00664745"/>
    <w:rsid w:val="00670565"/>
    <w:rsid w:val="00682CBF"/>
    <w:rsid w:val="006B32C2"/>
    <w:rsid w:val="007036E3"/>
    <w:rsid w:val="00721078"/>
    <w:rsid w:val="007662FB"/>
    <w:rsid w:val="0079175B"/>
    <w:rsid w:val="007D1BD1"/>
    <w:rsid w:val="007E2A7A"/>
    <w:rsid w:val="00813E4B"/>
    <w:rsid w:val="00836BC8"/>
    <w:rsid w:val="008A1E44"/>
    <w:rsid w:val="008B21AF"/>
    <w:rsid w:val="008F4089"/>
    <w:rsid w:val="008F796B"/>
    <w:rsid w:val="0093079D"/>
    <w:rsid w:val="00931FCF"/>
    <w:rsid w:val="00987BC9"/>
    <w:rsid w:val="009909B4"/>
    <w:rsid w:val="009A0F94"/>
    <w:rsid w:val="009B40D6"/>
    <w:rsid w:val="009B697C"/>
    <w:rsid w:val="009B7DA6"/>
    <w:rsid w:val="009C3077"/>
    <w:rsid w:val="00A25D5D"/>
    <w:rsid w:val="00A54A9D"/>
    <w:rsid w:val="00A93828"/>
    <w:rsid w:val="00AA348B"/>
    <w:rsid w:val="00B21212"/>
    <w:rsid w:val="00B61D10"/>
    <w:rsid w:val="00B90492"/>
    <w:rsid w:val="00BB7102"/>
    <w:rsid w:val="00BF4F6D"/>
    <w:rsid w:val="00C21361"/>
    <w:rsid w:val="00C9429B"/>
    <w:rsid w:val="00CC22D9"/>
    <w:rsid w:val="00CC6DCF"/>
    <w:rsid w:val="00D00B8B"/>
    <w:rsid w:val="00D077B9"/>
    <w:rsid w:val="00D23036"/>
    <w:rsid w:val="00D4590F"/>
    <w:rsid w:val="00D57F14"/>
    <w:rsid w:val="00E140A6"/>
    <w:rsid w:val="00E56CA8"/>
    <w:rsid w:val="00F8252F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DD4D"/>
  <w15:docId w15:val="{9F275872-F808-41D9-B34A-1D361B6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AA34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39E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kerdh.wordpress.com/2013/01/31/a-first-look-at-the-olimex-eeg-sm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72</cp:revision>
  <dcterms:created xsi:type="dcterms:W3CDTF">2009-12-09T15:49:00Z</dcterms:created>
  <dcterms:modified xsi:type="dcterms:W3CDTF">2018-06-11T07:16:00Z</dcterms:modified>
</cp:coreProperties>
</file>