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CHA2DS2-VASc INFOSHEET.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EXCERPTS FROM ORIGINAL PUBLICATION DESCRIBING CHA2DS2-VASc </w:t>
      </w:r>
    </w:p>
    <w:p w:rsidR="00000000" w:rsidDel="00000000" w:rsidP="00000000" w:rsidRDefault="00000000" w:rsidRPr="00000000" w14:paraId="00000004">
      <w:pPr>
        <w:rPr/>
      </w:pPr>
      <w:r w:rsidDel="00000000" w:rsidR="00000000" w:rsidRPr="00000000">
        <w:rPr>
          <w:rtl w:val="0"/>
        </w:rPr>
        <w:t xml:space="preserve">(Lip GYH, Nieuwlaat R, Pisters R, Lane DA, Crijns HJGM. </w:t>
      </w:r>
      <w:r w:rsidDel="00000000" w:rsidR="00000000" w:rsidRPr="00000000">
        <w:rPr>
          <w:i w:val="1"/>
          <w:rtl w:val="0"/>
        </w:rPr>
        <w:t xml:space="preserve">Refining clinical risk stratification for predicting stroke and thromboembolism in atrial fibrillation using a novel risk factor-based approach: the euro heart survey on atrial fibrillation</w:t>
      </w:r>
      <w:r w:rsidDel="00000000" w:rsidR="00000000" w:rsidRPr="00000000">
        <w:rPr>
          <w:rtl w:val="0"/>
        </w:rPr>
        <w:t xml:space="preserve">. Chest. 2010 Feb;137(2):263–272.)</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Abstract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Background</w:t>
      </w:r>
    </w:p>
    <w:p w:rsidR="00000000" w:rsidDel="00000000" w:rsidP="00000000" w:rsidRDefault="00000000" w:rsidRPr="00000000" w14:paraId="00000009">
      <w:pPr>
        <w:rPr/>
      </w:pPr>
      <w:r w:rsidDel="00000000" w:rsidR="00000000" w:rsidRPr="00000000">
        <w:rPr>
          <w:rtl w:val="0"/>
        </w:rPr>
        <w:t xml:space="preserve">Contemporary clinical risk stratification schemata for predicting stroke and thromboembolism (TE) in patients with atrial fibrillation (AF) are largely derived from risk factors identified from trial cohorts. Thus, many potential risk factors have not been included.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Methods</w:t>
      </w:r>
    </w:p>
    <w:p w:rsidR="00000000" w:rsidDel="00000000" w:rsidP="00000000" w:rsidRDefault="00000000" w:rsidRPr="00000000" w14:paraId="0000000C">
      <w:pPr>
        <w:rPr/>
      </w:pPr>
      <w:r w:rsidDel="00000000" w:rsidR="00000000" w:rsidRPr="00000000">
        <w:rPr>
          <w:rtl w:val="0"/>
        </w:rPr>
        <w:t xml:space="preserve">We refined the 2006 Birmingham/National Institute for Health and Clinical Excellence (NICE) stroke risk stratification schema into a risk factor-based approach by reclassifying and/or incorporating additional new risk factors where relevant. This schema was then compared with existing stroke risk stratification schema in a real-world cohort of patients with AF (n = 1,084) from the Euro Heart Survey for AF.</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Results</w:t>
      </w:r>
    </w:p>
    <w:p w:rsidR="00000000" w:rsidDel="00000000" w:rsidP="00000000" w:rsidRDefault="00000000" w:rsidRPr="00000000" w14:paraId="0000000F">
      <w:pPr>
        <w:rPr/>
      </w:pPr>
      <w:r w:rsidDel="00000000" w:rsidR="00000000" w:rsidRPr="00000000">
        <w:rPr>
          <w:rtl w:val="0"/>
        </w:rPr>
        <w:t xml:space="preserve">Risk categorization differed widely between the different schemes compared. Patients classified as high risk ranged from 10.2% with the Framingham schema to 75.7% with the Birmingham 2009 schema. The classic CHADS2 (Congestive heart failure, Hypertension, Age &gt; 75, Diabetes, prior Stroke/transient ischemic attack) schema categorized the largest proportion (61.9%) into the intermediate-risk strata, whereas the Birmingham 2009 schema classified 15.1% into this category. The Birmingham 2009 schema classified only 9.2% as low risk, whereas the Framingham scheme categorized 48.3% as low risk. Calculated C-statistics suggested modest predictive value of all schema for TE. The Birmingham 2009 schema fared marginally better (C-statistic, 0.606) than CHADS2. However, those classified as low risk by the Birmingham 2009 and NICE schema were truly low risk with no TE events recorded, whereas TE events occurred in 1.4% of low-risk CHADS2 subjects. When expressed as a scoring system, the Birmingham 2009 schema (CHA2DS2-VASc acronym) showed an increase in TE rate with increasing scores (P value for trend = .003).</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Conclusions</w:t>
      </w:r>
    </w:p>
    <w:p w:rsidR="00000000" w:rsidDel="00000000" w:rsidP="00000000" w:rsidRDefault="00000000" w:rsidRPr="00000000" w14:paraId="00000012">
      <w:pPr>
        <w:rPr/>
      </w:pPr>
      <w:r w:rsidDel="00000000" w:rsidR="00000000" w:rsidRPr="00000000">
        <w:rPr>
          <w:rtl w:val="0"/>
        </w:rPr>
        <w:t xml:space="preserve">Our novel, simple stroke risk stratification schema, based on a risk factor approach, provides some improvement in predictive value for TE over the CHADS2 schema, with low event rates in low-risk subjects and the classification of only a small proportion of subjects into the intermediate-risk category. This schema could improve our approach to stroke risk stratification in patients with AF.</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Atrial fibrillation (AF) is the most common sustained cardiac rhythm disorder, which is associated with a substantial risk of mortality and morbidity from stroke and thromboembolism (TE).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risk of stroke and TE in AF is not homogeneous, and various clinical and echocardiographic features have been identified to help stratify risk into high-, intermediate-, or low-risk categories.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There are increasing data that other risk factors should be considered in refining stroke and TE risk stratification for AF. For example, female gender increased TE risk in the Euro Heart Survey and other cohorts.13, 14, 15 Also, vascular diseases, including myocardial infarction, peripheral artery disease, and complex aortic plaque, all increase TE risk in AF.16, 17, 18, 19, 20 Furthermore, stroke risk in AF increases at age &gt; 65 years onwards, and age as a risk factor is not a yes/no phenomenon. Indeed, the BAFTA trial showed that VKA was clearly superior thromboprophylaxis to aspirin in elderly (aged ≥ 75 years) subjects with AF in a primary care setting, which shows that the frequently reported fear of bleeding as an excuse for not prescribing warfarin to elderly patients is not justified.1, 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 2006, the Birmingham stroke risk stratification schema was compared against the CHADS2 (Congestive heart failure, Hypertension, Age &gt; 75, Diabetes, prior Stroke/transient ischemic attack) schema in a cohort of 994 patients with AF, and it was found that the accuracy of both clinical risk stratification schemes was similar for predicting ischemic strokes and vascular events.8 The Birmingham schema was subsequently refined for the evidence-based UK National Institute for Health and Clinical Excellence (NICE) guidelines on AF management, which formulated an algorithm-based approach to stroke risk stratification.12 Since 2006, it is apparent that stroke risk stratification needs to be simple, yet consider new data on other risk factors (female gender, age, vascular disease, and so forth) that have emerged, and recognize that an artificial categorization into high-, intermediate-, and low-risk categories per se may be less helpful. Current treatment guidelines recommend VKA for high-risk subjects and (usually) aspirin for low-risk subjects, but for intermediate risk, many guidelines state “either warfarin or aspirin” can be used.10, 11, 12 The latter can sometimes cause uncertainty for clinicians managing such patients, especially if a large proportion of a particular cohort of patients with AF are classified into this intermediate-risk category. This “either warfarin or aspirin” recommendation is also sometimes used as an excuse not to prescribe warfarin in intermediate-risk patients. Also, clinicians need reassurance that those classified as low risk are truly low risk, with no TE events in such patients.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objective of this analysis is to refine the 2006 Birmingham/NICE stroke risk stratification schema into a risk factor-based approach, by reclassifying and/or incorporating additional new risk factors as relevant. This novel schema (Birmingham 2009) was then compared with existing schema in a real world AF patient cohort in the Euro Heart Survey for AF, where longitudinal data on outcomes have previously been published.21</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Methods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Validation Cohort</w:t>
      </w:r>
    </w:p>
    <w:p w:rsidR="00000000" w:rsidDel="00000000" w:rsidP="00000000" w:rsidRDefault="00000000" w:rsidRPr="00000000" w14:paraId="00000022">
      <w:pPr>
        <w:rPr/>
      </w:pPr>
      <w:r w:rsidDel="00000000" w:rsidR="00000000" w:rsidRPr="00000000">
        <w:rPr>
          <w:rtl w:val="0"/>
        </w:rPr>
        <w:t xml:space="preserve">To test the predictive ability of the refined Birmingham schema, and to compare this with the performance of other schema, we used the Euro Heart Survey on AF population. Survey methods, center participation, patient characteristics, management and definitions of the baseline and follow-up survey of the Euro Heart Survey on AF have previously been described.21, 22 In summary, 5,333 ambulant and hospitalized patients with AF were enrolled from the cardiology practices of 182 hospitals among 35 countries in 2003 to 2004. Patients were enrolled if they were ≥ 18 years old and if they had an ECG or Holter recording showing AF during the qualifying admission/consultation or in the preceding 12 months. A follow-up was performed to assess mortality and incidence of major adverse events during 1 year.</w:t>
      </w:r>
    </w:p>
    <w:p w:rsidR="00000000" w:rsidDel="00000000" w:rsidP="00000000" w:rsidRDefault="00000000" w:rsidRPr="00000000" w14:paraId="00000023">
      <w:pPr>
        <w:rPr/>
      </w:pPr>
      <w:r w:rsidDel="00000000" w:rsidR="00000000" w:rsidRPr="00000000">
        <w:rPr>
          <w:rtl w:val="0"/>
        </w:rPr>
        <w:t xml:space="preserve">For the current analysis we selected 1,577 patients without mitral stenosis or previous heart valve surgery and who did not use either VKA or heparin at discharge of the qualifying visit. We had survival status during 1 year for 1,150 (73%) of these patients and the TE status for 1,084 (69%). Compared with patients with known survival status at follow-up, patients with unknown survival status were at baseline of similar age (66 ± 15 vs 66 ± 14 years; P = .624), were as often female (45% vs 40%; P = .103), and equally as often had diabetes (15% vs 17%; P = .244) or a prior stroke/TIA (9% vs 8%; P = .359), whereas they more often had heart failure (41% vs 24%; P &lt; .001) and less often vascular disease (35% vs 42%; P = .015) and hypertension (62% vs 67%; P = .032). Patients with known survival status at follow-up but unknown TE status were more often deceased compared with patients who had both survival and TE status known (24% vs 4%; P &lt; .001).</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Description of Stroke Risk Stratification Schema</w:t>
      </w:r>
    </w:p>
    <w:p w:rsidR="00000000" w:rsidDel="00000000" w:rsidP="00000000" w:rsidRDefault="00000000" w:rsidRPr="00000000" w14:paraId="00000026">
      <w:pPr>
        <w:rPr/>
      </w:pPr>
      <w:r w:rsidDel="00000000" w:rsidR="00000000" w:rsidRPr="00000000">
        <w:rPr>
          <w:rtl w:val="0"/>
        </w:rPr>
        <w:t xml:space="preserve">The various stroke risk schema compared and/or validated in this real world European cohort are summarized in Table 1. In case of multiple available schema, we chose to use the most recent one: for example, the Stroke Prevention in Atrial Fibrillation (SPAF) 1999 schema (rather than the SPAF 1995 schema),23 the second American College of Cardiology/American Heart Association/European Society of Cardiology (ACC/AHA/ESC) guidelines (2006),11 and the eighth American College of Chest Physicians (ACCP) guidelines (2008).10 We did use the AF Investigators 1994 schema,24 since the 1998 analysis explored the additional value of echocardiography parameters, but did not explicitly recommend a new schema. The Framingham and CHADS2 schema are point-based scores, with the Framingham based on a mathematical equation25 and the CHADS2 based on one point for CHAD and two points for stroke/TIA.26</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Table 1. Risk Stratification Schemes Used To Predict Thromboembolism in Atrial Fibrillation</w:t>
      </w:r>
    </w:p>
    <w:p w:rsidR="00000000" w:rsidDel="00000000" w:rsidP="00000000" w:rsidRDefault="00000000" w:rsidRPr="00000000" w14:paraId="00000029">
      <w:pPr>
        <w:rPr/>
      </w:pPr>
      <w:r w:rsidDel="00000000" w:rsidR="00000000" w:rsidRPr="00000000">
        <w:rPr>
          <w:rtl w:val="0"/>
        </w:rPr>
        <w:t xml:space="preserve">Risk Scheme</w:t>
        <w:tab/>
        <w:t xml:space="preserve">Low Risk</w:t>
        <w:tab/>
        <w:t xml:space="preserve">Intermediate Risk</w:t>
        <w:tab/>
        <w:t xml:space="preserve">High Risk</w:t>
      </w:r>
    </w:p>
    <w:p w:rsidR="00000000" w:rsidDel="00000000" w:rsidP="00000000" w:rsidRDefault="00000000" w:rsidRPr="00000000" w14:paraId="0000002A">
      <w:pPr>
        <w:rPr/>
      </w:pPr>
      <w:r w:rsidDel="00000000" w:rsidR="00000000" w:rsidRPr="00000000">
        <w:rPr>
          <w:rtl w:val="0"/>
        </w:rPr>
        <w:t xml:space="preserve">AFI Investigators (1994)24</w:t>
        <w:tab/>
        <w:t xml:space="preserve">Age &lt; 65 y and no risk factors</w:t>
        <w:tab/>
        <w:t xml:space="preserve">Age &gt; 65 y and no other risk factors</w:t>
        <w:tab/>
        <w:t xml:space="preserve">Prior stroke/TIA, hypertension, diabetes</w:t>
      </w:r>
    </w:p>
    <w:p w:rsidR="00000000" w:rsidDel="00000000" w:rsidP="00000000" w:rsidRDefault="00000000" w:rsidRPr="00000000" w14:paraId="0000002B">
      <w:pPr>
        <w:rPr/>
      </w:pPr>
      <w:r w:rsidDel="00000000" w:rsidR="00000000" w:rsidRPr="00000000">
        <w:rPr>
          <w:rtl w:val="0"/>
        </w:rPr>
        <w:t xml:space="preserve">SPAF investigators23</w:t>
        <w:tab/>
        <w:t xml:space="preserve">No risk factors</w:t>
        <w:tab/>
        <w:t xml:space="preserve">Hypertension, diabetes</w:t>
        <w:tab/>
        <w:t xml:space="preserve">Prior stroke/TIA, women &gt; 75 y, men &gt; 75 y with hypertension</w:t>
      </w:r>
    </w:p>
    <w:p w:rsidR="00000000" w:rsidDel="00000000" w:rsidP="00000000" w:rsidRDefault="00000000" w:rsidRPr="00000000" w14:paraId="0000002C">
      <w:pPr>
        <w:rPr/>
      </w:pPr>
      <w:r w:rsidDel="00000000" w:rsidR="00000000" w:rsidRPr="00000000">
        <w:rPr>
          <w:rtl w:val="0"/>
        </w:rPr>
        <w:t xml:space="preserve">CHADS2 (2001)—classic26</w:t>
        <w:tab/>
        <w:t xml:space="preserve">Score 0</w:t>
        <w:tab/>
        <w:t xml:space="preserve">Score 1-2</w:t>
        <w:tab/>
        <w:t xml:space="preserve">Score 3-6</w:t>
      </w:r>
    </w:p>
    <w:p w:rsidR="00000000" w:rsidDel="00000000" w:rsidP="00000000" w:rsidRDefault="00000000" w:rsidRPr="00000000" w14:paraId="0000002D">
      <w:pPr>
        <w:rPr/>
      </w:pPr>
      <w:r w:rsidDel="00000000" w:rsidR="00000000" w:rsidRPr="00000000">
        <w:rPr>
          <w:rtl w:val="0"/>
        </w:rPr>
        <w:t xml:space="preserve">CHADS2—revised</w:t>
        <w:tab/>
        <w:t xml:space="preserve">Score 0</w:t>
        <w:tab/>
        <w:t xml:space="preserve">Score 1</w:t>
        <w:tab/>
        <w:t xml:space="preserve">Score 2-6</w:t>
      </w:r>
    </w:p>
    <w:p w:rsidR="00000000" w:rsidDel="00000000" w:rsidP="00000000" w:rsidRDefault="00000000" w:rsidRPr="00000000" w14:paraId="0000002E">
      <w:pPr>
        <w:rPr/>
      </w:pPr>
      <w:r w:rsidDel="00000000" w:rsidR="00000000" w:rsidRPr="00000000">
        <w:rPr>
          <w:rtl w:val="0"/>
        </w:rPr>
        <w:t xml:space="preserve">Framingham (2003)25</w:t>
        <w:tab/>
        <w:t xml:space="preserve">Score 0-7</w:t>
        <w:tab/>
        <w:t xml:space="preserve">Score 8-15</w:t>
        <w:tab/>
        <w:t xml:space="preserve">Score 16-31</w:t>
      </w:r>
    </w:p>
    <w:p w:rsidR="00000000" w:rsidDel="00000000" w:rsidP="00000000" w:rsidRDefault="00000000" w:rsidRPr="00000000" w14:paraId="0000002F">
      <w:pPr>
        <w:rPr/>
      </w:pPr>
      <w:r w:rsidDel="00000000" w:rsidR="00000000" w:rsidRPr="00000000">
        <w:rPr>
          <w:rtl w:val="0"/>
        </w:rPr>
        <w:t xml:space="preserve">NICE guidelines (2006)12</w:t>
        <w:tab/>
        <w:t xml:space="preserve">Age &lt; 65 y with no moderate/high-risk factors</w:t>
        <w:tab/>
        <w:t xml:space="preserve">Age ≥ 65 y with no high-risk factors</w:t>
        <w:tab/>
        <w:t xml:space="preserve">Previous stroke/TIA or thromboembolic event</w:t>
      </w:r>
    </w:p>
    <w:p w:rsidR="00000000" w:rsidDel="00000000" w:rsidP="00000000" w:rsidRDefault="00000000" w:rsidRPr="00000000" w14:paraId="00000030">
      <w:pPr>
        <w:rPr/>
      </w:pPr>
      <w:r w:rsidDel="00000000" w:rsidR="00000000" w:rsidRPr="00000000">
        <w:rPr>
          <w:rtl w:val="0"/>
        </w:rPr>
        <w:tab/>
        <w:tab/>
        <w:t xml:space="preserve">Age &lt; 75 y with hypertension, diabetes, or vascular diseasea</w:t>
        <w:tab/>
        <w:t xml:space="preserve">Age ≥ 75 y with hypertension, diabetes, or vascular disease</w:t>
      </w:r>
    </w:p>
    <w:p w:rsidR="00000000" w:rsidDel="00000000" w:rsidP="00000000" w:rsidRDefault="00000000" w:rsidRPr="00000000" w14:paraId="00000031">
      <w:pPr>
        <w:rPr/>
      </w:pPr>
      <w:r w:rsidDel="00000000" w:rsidR="00000000" w:rsidRPr="00000000">
        <w:rPr>
          <w:rtl w:val="0"/>
        </w:rPr>
        <w:tab/>
        <w:tab/>
        <w:tab/>
        <w:t xml:space="preserve">Clinical evidence of valve disease or heart failure, or impaired left ventricular function</w:t>
      </w:r>
    </w:p>
    <w:p w:rsidR="00000000" w:rsidDel="00000000" w:rsidP="00000000" w:rsidRDefault="00000000" w:rsidRPr="00000000" w14:paraId="00000032">
      <w:pPr>
        <w:rPr/>
      </w:pPr>
      <w:r w:rsidDel="00000000" w:rsidR="00000000" w:rsidRPr="00000000">
        <w:rPr>
          <w:rtl w:val="0"/>
        </w:rPr>
        <w:t xml:space="preserve">ACC/AHA/ESC guidelines (2006)11</w:t>
        <w:tab/>
        <w:t xml:space="preserve">No risk factors</w:t>
        <w:tab/>
        <w:t xml:space="preserve">Age ≥ 75 y, or hypertension, or heart failure, or LVEF ≤ 35%, or diabetes</w:t>
        <w:tab/>
        <w:t xml:space="preserve">Previous stroke, TIA or embolism, or ≥ 2 moderate risk factors: age ≥ 75 y, hypertension, heart failure, LVEF ≤ 35%, diabetes</w:t>
      </w:r>
    </w:p>
    <w:p w:rsidR="00000000" w:rsidDel="00000000" w:rsidP="00000000" w:rsidRDefault="00000000" w:rsidRPr="00000000" w14:paraId="00000033">
      <w:pPr>
        <w:rPr/>
      </w:pPr>
      <w:r w:rsidDel="00000000" w:rsidR="00000000" w:rsidRPr="00000000">
        <w:rPr>
          <w:rtl w:val="0"/>
        </w:rPr>
        <w:t xml:space="preserve">Eighth ACCP guidelines (2008)10</w:t>
        <w:tab/>
        <w:t xml:space="preserve">No risk factors</w:t>
        <w:tab/>
        <w:t xml:space="preserve">Age &gt; 75 y, or hypertension, or moderately or severely impaired LVEF and/or heart failure, or diabetes</w:t>
        <w:tab/>
        <w:t xml:space="preserve">Previous stroke, TIA or embolism, or ≥ 2 moderate risk factors: age ≥ 75 y, hypertension, moderately or severely impaired LVEF and/or heart failure, diabetes</w:t>
      </w:r>
    </w:p>
    <w:p w:rsidR="00000000" w:rsidDel="00000000" w:rsidP="00000000" w:rsidRDefault="00000000" w:rsidRPr="00000000" w14:paraId="00000034">
      <w:pPr>
        <w:rPr/>
      </w:pPr>
      <w:r w:rsidDel="00000000" w:rsidR="00000000" w:rsidRPr="00000000">
        <w:rPr>
          <w:rtl w:val="0"/>
        </w:rPr>
        <w:t xml:space="preserve">Birmingham (2009)</w:t>
        <w:tab/>
        <w:t xml:space="preserve">No risk factors</w:t>
        <w:tab/>
        <w:t xml:space="preserve">One combination risk factor: heart failure/LVEF ≤ 40, hypertension, diabetes, vascular disease,a female gender, age 65-74</w:t>
        <w:tab/>
        <w:t xml:space="preserve">Previous stroke, TIA or embolism, or age ≥ 75 y, or ≥ 2 combination risk factors: heart failure/LVEF ≤40, hypertension, diabetes, vascular disease,a female gender, age 65-74</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 order to compare their predictive ability with other schema for distinguishing low, intermediate, and high risk, we categorized the scores into three groups. We defined the CHADS2 score in two ways: (1) classic, whereby scores of 0 = low, 1 to 2 = intermediate, &gt; 2 = high risk; or (2) revised, whereby scores of 0 = low, 1 = intermediate, ≥ 2 = high risk. We categorized the Framingham score in a similar manner to that proposed by Fang et al,9 as follows: score 0 to 7 = low, 8 to 15 = intermediate, 16 to 31 = high risk. In addition to these categorized definitions (commonly used in clinical practice), the Framingham and CHADS2 scores were also tested as continuous variables.</w:t>
      </w:r>
    </w:p>
    <w:p w:rsidR="00000000" w:rsidDel="00000000" w:rsidP="00000000" w:rsidRDefault="00000000" w:rsidRPr="00000000" w14:paraId="00000037">
      <w:pPr>
        <w:rPr/>
      </w:pPr>
      <w:r w:rsidDel="00000000" w:rsidR="00000000" w:rsidRPr="00000000">
        <w:rPr>
          <w:rtl w:val="0"/>
        </w:rPr>
        <w:t xml:space="preserve">We refined the 2006 Birmingham (or NICE) TE risk schema into a risk factor-based approach, by defining definitive risk factors (previous stroke/TIA/TE and age ≥ 75 years) and combination risk factors (heart failure/moderate-severe cardiac dysfunction, hypertension, diabetes, vascular disease, female gender, and age 65-74 years). If we wished to artificially categorize these subjects, high risk was defined as one definitive or two or more combination risk factors, intermediate risk was essentially defined as one combination risk factor, and low risk was defined as no risk factors being present. This refined (2009) Birmingham schema was also tested with a point-based scoring system, the CHA2DS2-VASc score (see Table 2 for definition), whereby scores of 0 = low, 1 = intermediate, and ≥ 2 = high risk.</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Table 2. The 2009 Birmingham Schema Expressed as a Point-Based Scoring System, With the Acronym CHA2DS2-VASc</w:t>
      </w:r>
    </w:p>
    <w:p w:rsidR="00000000" w:rsidDel="00000000" w:rsidP="00000000" w:rsidRDefault="00000000" w:rsidRPr="00000000" w14:paraId="0000003A">
      <w:pPr>
        <w:rPr/>
      </w:pPr>
      <w:r w:rsidDel="00000000" w:rsidR="00000000" w:rsidRPr="00000000">
        <w:rPr>
          <w:rtl w:val="0"/>
        </w:rPr>
        <w:t xml:space="preserve">Risk Factor</w:t>
        <w:tab/>
        <w:t xml:space="preserve">Score</w:t>
      </w:r>
    </w:p>
    <w:p w:rsidR="00000000" w:rsidDel="00000000" w:rsidP="00000000" w:rsidRDefault="00000000" w:rsidRPr="00000000" w14:paraId="0000003B">
      <w:pPr>
        <w:rPr/>
      </w:pPr>
      <w:r w:rsidDel="00000000" w:rsidR="00000000" w:rsidRPr="00000000">
        <w:rPr>
          <w:rtl w:val="0"/>
        </w:rPr>
        <w:t xml:space="preserve">Congestive heart failure/LV dysfunction</w:t>
        <w:tab/>
        <w:t xml:space="preserve">1</w:t>
      </w:r>
    </w:p>
    <w:p w:rsidR="00000000" w:rsidDel="00000000" w:rsidP="00000000" w:rsidRDefault="00000000" w:rsidRPr="00000000" w14:paraId="0000003C">
      <w:pPr>
        <w:rPr/>
      </w:pPr>
      <w:r w:rsidDel="00000000" w:rsidR="00000000" w:rsidRPr="00000000">
        <w:rPr>
          <w:rtl w:val="0"/>
        </w:rPr>
        <w:t xml:space="preserve">Hypertension</w:t>
        <w:tab/>
        <w:t xml:space="preserve">1</w:t>
      </w:r>
    </w:p>
    <w:p w:rsidR="00000000" w:rsidDel="00000000" w:rsidP="00000000" w:rsidRDefault="00000000" w:rsidRPr="00000000" w14:paraId="0000003D">
      <w:pPr>
        <w:rPr/>
      </w:pPr>
      <w:r w:rsidDel="00000000" w:rsidR="00000000" w:rsidRPr="00000000">
        <w:rPr>
          <w:rtl w:val="0"/>
        </w:rPr>
        <w:t xml:space="preserve">Age ≥ 75 y</w:t>
        <w:tab/>
        <w:t xml:space="preserve">2</w:t>
      </w:r>
    </w:p>
    <w:p w:rsidR="00000000" w:rsidDel="00000000" w:rsidP="00000000" w:rsidRDefault="00000000" w:rsidRPr="00000000" w14:paraId="0000003E">
      <w:pPr>
        <w:rPr/>
      </w:pPr>
      <w:r w:rsidDel="00000000" w:rsidR="00000000" w:rsidRPr="00000000">
        <w:rPr>
          <w:rtl w:val="0"/>
        </w:rPr>
        <w:t xml:space="preserve">Diabetes mellitus</w:t>
        <w:tab/>
        <w:t xml:space="preserve">1</w:t>
      </w:r>
    </w:p>
    <w:p w:rsidR="00000000" w:rsidDel="00000000" w:rsidP="00000000" w:rsidRDefault="00000000" w:rsidRPr="00000000" w14:paraId="0000003F">
      <w:pPr>
        <w:rPr/>
      </w:pPr>
      <w:r w:rsidDel="00000000" w:rsidR="00000000" w:rsidRPr="00000000">
        <w:rPr>
          <w:rtl w:val="0"/>
        </w:rPr>
        <w:t xml:space="preserve">Stroke/TIA/TE</w:t>
        <w:tab/>
        <w:t xml:space="preserve">2</w:t>
      </w:r>
    </w:p>
    <w:p w:rsidR="00000000" w:rsidDel="00000000" w:rsidP="00000000" w:rsidRDefault="00000000" w:rsidRPr="00000000" w14:paraId="00000040">
      <w:pPr>
        <w:rPr/>
      </w:pPr>
      <w:r w:rsidDel="00000000" w:rsidR="00000000" w:rsidRPr="00000000">
        <w:rPr>
          <w:rtl w:val="0"/>
        </w:rPr>
        <w:t xml:space="preserve">Vascular disease (prior myocardial infarction, peripheral artery disease, or aortic plaque)</w:t>
        <w:tab/>
        <w:t xml:space="preserve">1</w:t>
      </w:r>
    </w:p>
    <w:p w:rsidR="00000000" w:rsidDel="00000000" w:rsidP="00000000" w:rsidRDefault="00000000" w:rsidRPr="00000000" w14:paraId="00000041">
      <w:pPr>
        <w:rPr/>
      </w:pPr>
      <w:r w:rsidDel="00000000" w:rsidR="00000000" w:rsidRPr="00000000">
        <w:rPr>
          <w:rtl w:val="0"/>
        </w:rPr>
        <w:t xml:space="preserve">Age 65-74 y</w:t>
        <w:tab/>
        <w:t xml:space="preserve">1</w:t>
      </w:r>
    </w:p>
    <w:p w:rsidR="00000000" w:rsidDel="00000000" w:rsidP="00000000" w:rsidRDefault="00000000" w:rsidRPr="00000000" w14:paraId="00000042">
      <w:pPr>
        <w:rPr/>
      </w:pPr>
      <w:r w:rsidDel="00000000" w:rsidR="00000000" w:rsidRPr="00000000">
        <w:rPr>
          <w:rtl w:val="0"/>
        </w:rPr>
        <w:t xml:space="preserve">Sex category (ie female gender)</w:t>
        <w:tab/>
        <w:t xml:space="preserve">1</w:t>
      </w:r>
    </w:p>
    <w:p w:rsidR="00000000" w:rsidDel="00000000" w:rsidP="00000000" w:rsidRDefault="00000000" w:rsidRPr="00000000" w14:paraId="00000043">
      <w:pPr>
        <w:rPr/>
      </w:pPr>
      <w:r w:rsidDel="00000000" w:rsidR="00000000" w:rsidRPr="00000000">
        <w:rPr>
          <w:rtl w:val="0"/>
        </w:rPr>
        <w:t xml:space="preserve">LV = left ventricular; TE = thromboembolism. See Table 1 for expansion of other abbreviations.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Definitions of End Points and Risk Factors</w:t>
      </w:r>
    </w:p>
    <w:p w:rsidR="00000000" w:rsidDel="00000000" w:rsidP="00000000" w:rsidRDefault="00000000" w:rsidRPr="00000000" w14:paraId="00000046">
      <w:pPr>
        <w:rPr/>
      </w:pPr>
      <w:r w:rsidDel="00000000" w:rsidR="00000000" w:rsidRPr="00000000">
        <w:rPr>
          <w:rtl w:val="0"/>
        </w:rPr>
        <w:t xml:space="preserve">Ischemic stroke was defined as a focal neurologic deficit of sudden onset as diagnosed by a neurologist, lasting &gt; 24 h and caused by ischemia. TIA was defined as a focal neurologic deficit of sudden onset as diagnosed by a neurologist, lasting &lt; 24 h. Peripheral embolism was defined as TE outside the brain, heart, eyes, and lungs. Pulmonary embolism was defined by the responsible physician. TE as outcome variable of the validation analysis was defined as either an ischemic stroke, peripheral embolism, or pulmonary embolism. Definitions of risk factors, such as diabetes, hypertension, heart failure, peripheral artery disease, and so forth, are provided in the online supplement.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Statistical Analysis</w:t>
      </w:r>
    </w:p>
    <w:p w:rsidR="00000000" w:rsidDel="00000000" w:rsidP="00000000" w:rsidRDefault="00000000" w:rsidRPr="00000000" w14:paraId="00000049">
      <w:pPr>
        <w:rPr/>
      </w:pPr>
      <w:r w:rsidDel="00000000" w:rsidR="00000000" w:rsidRPr="00000000">
        <w:rPr>
          <w:rtl w:val="0"/>
        </w:rPr>
        <w:t xml:space="preserve">We used descriptive analyses with proportions and means (± SD) to describe the validation cohort, categorization of the three risk groups per schema, and the event rates per risk group. We calculated the 95% CI of event rates using the binomial approximation. We performed logistic regression with each schema, containing three risk groups, as independent variable and TE during 1 year as dependent variable. The probability that this model predicted the correct classification of each patient (TE or not) was saved. Following this we plotted this probability in a receiver-operating characteristic (ROC) curve against TE as dependent variable. The area under the curve for this ROC curve represents the ability of a schema to correctly classify risk for TE, which is also referred to as the C-statistic (Harrell's C). As a subsidiary analysis, we also ran the same analyses on 843 patients within this group who were not on anticoagulation at both baseline and 1-year follow-up.</w:t>
      </w:r>
    </w:p>
    <w:p w:rsidR="00000000" w:rsidDel="00000000" w:rsidP="00000000" w:rsidRDefault="00000000" w:rsidRPr="00000000" w14:paraId="0000004A">
      <w:pPr>
        <w:rPr/>
      </w:pPr>
      <w:r w:rsidDel="00000000" w:rsidR="00000000" w:rsidRPr="00000000">
        <w:rPr>
          <w:rtl w:val="0"/>
        </w:rPr>
        <w:t xml:space="preserve">To assess the effect of individual risk factors on the occurrence of TE in this cohort, we performed multivariable logistic regression with the following independent variables: age, gender, diabetes, coronary artery disease, heart failure, hypertension, prior stroke/TIA, prior other thromboembolism, and peripheral vascular disease. To assess whether the effect of systolic blood pressure at baseline was different than that of hypertension, we performed the same analysis while replacing systolic blood pressure for hypertension and we report these results in the text only. Further, since recent echocardiography was not available for 400 (37%) patients, we repeated the initial analysis with the addition of left ventricular ejection fraction to assess its effect and whether other effects were changed by this addition. Variables were removed stepwise from the model when the P value exceeded .10. Variables with P value &lt; 0.05 in the final model were considered to be significant contributors to TE prediction and we report the net odds ratio (OR), 95% CI, and P value for these variables. Variables in the final model were tested for interaction(s), if any.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Results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C-statistics all suggested modest predictive value of all schema for TE, with C-statistics ranging from 0.549 (SPAF) to 0.638 (Framingham), whereby the Framingham schema was the only one to predict TE better than chance in this cohort. If Framingham and CHADS</w:t>
      </w:r>
      <w:r w:rsidDel="00000000" w:rsidR="00000000" w:rsidRPr="00000000">
        <w:rPr>
          <w:vertAlign w:val="subscript"/>
          <w:rtl w:val="0"/>
        </w:rPr>
        <w:t xml:space="preserve">2</w:t>
      </w:r>
      <w:r w:rsidDel="00000000" w:rsidR="00000000" w:rsidRPr="00000000">
        <w:rPr>
          <w:rtl w:val="0"/>
        </w:rPr>
        <w:t xml:space="preserve"> scores were tested as continuous variables a slightly improved C-statistic was obtained compared with their respective categorized scores. The Birmingham 2009 schema fared marginally better (C-statistic, 0.606) than CHADS</w:t>
      </w:r>
      <w:r w:rsidDel="00000000" w:rsidR="00000000" w:rsidRPr="00000000">
        <w:rPr>
          <w:vertAlign w:val="subscript"/>
          <w:rtl w:val="0"/>
        </w:rPr>
        <w:t xml:space="preserve">2</w:t>
      </w:r>
      <w:r w:rsidDel="00000000" w:rsidR="00000000" w:rsidRPr="00000000">
        <w:rPr>
          <w:rtl w:val="0"/>
        </w:rPr>
        <w:t xml:space="preserve">, whether classic (0.561) or revised (0.586), or as a continuous variable (0.602) (</w:t>
      </w:r>
      <w:hyperlink r:id="rId7">
        <w:r w:rsidDel="00000000" w:rsidR="00000000" w:rsidRPr="00000000">
          <w:rPr>
            <w:color w:val="1155cc"/>
            <w:u w:val="single"/>
            <w:rtl w:val="0"/>
          </w:rPr>
          <w:t xml:space="preserve">Table 5</w:t>
        </w:r>
      </w:hyperlink>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Those classified as low risk by Birmingham 2009 and the NICE schema were truly low risk, with no TE events recorded, whereas TE events occurred in 1.4% of low-risk CHADS</w:t>
      </w:r>
      <w:r w:rsidDel="00000000" w:rsidR="00000000" w:rsidRPr="00000000">
        <w:rPr>
          <w:vertAlign w:val="subscript"/>
          <w:rtl w:val="0"/>
        </w:rPr>
        <w:t xml:space="preserve">2</w:t>
      </w:r>
      <w:r w:rsidDel="00000000" w:rsidR="00000000" w:rsidRPr="00000000">
        <w:rPr>
          <w:rtl w:val="0"/>
        </w:rPr>
        <w:t xml:space="preserve"> subjects and 1.8% of SPAF low-risk subjects. Also, where most intermediate-risk groups had an event rate around 3%, the intermediate-risk group using the Birmingham 2009 schema had only 1 event (0.6%). When expressed as a scoring system (</w:t>
      </w:r>
      <w:hyperlink r:id="rId8">
        <w:r w:rsidDel="00000000" w:rsidR="00000000" w:rsidRPr="00000000">
          <w:rPr>
            <w:color w:val="1155cc"/>
            <w:u w:val="single"/>
            <w:rtl w:val="0"/>
          </w:rPr>
          <w:t xml:space="preserve">Table 6</w:t>
        </w:r>
      </w:hyperlink>
      <w:r w:rsidDel="00000000" w:rsidR="00000000" w:rsidRPr="00000000">
        <w:rPr>
          <w:rtl w:val="0"/>
        </w:rPr>
        <w:t xml:space="preserve">), the Birmingham 2009 schema (with the CHA</w:t>
      </w:r>
      <w:r w:rsidDel="00000000" w:rsidR="00000000" w:rsidRPr="00000000">
        <w:rPr>
          <w:vertAlign w:val="subscript"/>
          <w:rtl w:val="0"/>
        </w:rPr>
        <w:t xml:space="preserve">2</w:t>
      </w:r>
      <w:r w:rsidDel="00000000" w:rsidR="00000000" w:rsidRPr="00000000">
        <w:rPr>
          <w:rtl w:val="0"/>
        </w:rPr>
        <w:t xml:space="preserve">DS</w:t>
      </w:r>
      <w:r w:rsidDel="00000000" w:rsidR="00000000" w:rsidRPr="00000000">
        <w:rPr>
          <w:vertAlign w:val="subscript"/>
          <w:rtl w:val="0"/>
        </w:rPr>
        <w:t xml:space="preserve">2</w:t>
      </w:r>
      <w:r w:rsidDel="00000000" w:rsidR="00000000" w:rsidRPr="00000000">
        <w:rPr>
          <w:rtl w:val="0"/>
        </w:rPr>
        <w:t xml:space="preserve">-VASc acronym) showed an increase in TE rate with increasing scores (</w:t>
      </w:r>
      <w:r w:rsidDel="00000000" w:rsidR="00000000" w:rsidRPr="00000000">
        <w:rPr>
          <w:i w:val="1"/>
          <w:rtl w:val="0"/>
        </w:rPr>
        <w:t xml:space="preserve">P</w:t>
      </w:r>
      <w:r w:rsidDel="00000000" w:rsidR="00000000" w:rsidRPr="00000000">
        <w:rPr>
          <w:rtl w:val="0"/>
        </w:rPr>
        <w:t xml:space="preserve"> value for trend = .003); those with a score of 0 (ie, low risk) had no TE events, whereas a score of 1 (ie, intermediate risk) had TE events in 0.6%</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 secondary analysis of a cohort of subjects who were not treated with anticoagulation at baseline and at follow-up are presented in the online supplement, and accepting the caveat of lower study numbers, this does not substantially change our observations.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Discussion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 this article, we have provided a validation for a novel risk factor-based approach to stroke risk stratification (Birmingham 2009), in comparison with other published schema, in a real world European cohort. This Birmingham 2009 schema considers patients with a prior stroke/TIA or patients ≥ 75 years as high risk and as candidates for warfarin. Furthermore, a combination of at least two risk factors from hypertension, heart failure, diabetes, age 65 to 75, female gender, and vascular disease are also considered to be high risk; we provide strong evidence from the Euro Heart Survey for the addition of the latter two risk factors. To aid risk scoring, we also provide a risk score for the Birmingham 2009 schema, using the CHA2DS2-VASc acronym, with a clear increase in stroke risk with an increasing score, whereas those with a score of 0 to 1 (that is, low to moderate risk) had low event rates. We also confirm the results of recent comparisons5, 6, 7, 8, 9, 17 showing a modest predictive value of older published stroke risk stratification schema for stroke and TE in patients with AF, but extend this work by showing the modest performance of the most recent ACC/AHA/ESC, ACCP, and NICE schemata.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 conclusion, our novel, simple stroke risk stratification schema, based on a risk factor approach, provides some improvement in predictive value for TE over the CHADS2 schema, with low event rates in low risk subjects and the classification of only a small proportion of subjects into the intermediate risk category. This schema could improve our approach to stroke risk stratification in patients with AF. Ongoing validations of the Birmingham 2009 risk schema in other AF populations from different race/ethnic groups will confirm its true value.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FOLLOW-UP WORK</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CHA2DS2-VASc has been further validated in a number of follow-up studies. Most notably: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(Friberg L, Rosenqvist M, Lip GYH. Evaluation of risk stratification schemes for ischaemic stroke and bleeding in 182,678 patients with atrial fibrillation: the Swedish Atrial Fibrillation cohort study. </w:t>
      </w:r>
      <w:r w:rsidDel="00000000" w:rsidR="00000000" w:rsidRPr="00000000">
        <w:rPr>
          <w:i w:val="1"/>
          <w:rtl w:val="0"/>
        </w:rPr>
        <w:t xml:space="preserve">Eur Heart J</w:t>
      </w:r>
      <w:r w:rsidDel="00000000" w:rsidR="00000000" w:rsidRPr="00000000">
        <w:rPr>
          <w:rtl w:val="0"/>
        </w:rPr>
        <w:t xml:space="preserve">. 2012 Jun;33(12):1500–1510.) - Further validation using the Swedish Atrial Fibrillation cohort study, a nationwide cohort study of 182 678 subjects with a diagnosis of AF at any Swedish hospital between 1 July 2005 and 31 December 2008, who were prospectively followed for an average of 1.5 years.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(Larsen TB, Lip GYH, Skjøth F, Due KM, Overvad K, Rasmussen LH. Added predictive ability of the CHA₂DS₂-VASc risk score for stroke and death in patients with atrial fibrillation: the prospective Danish Diet, Cancer, and Health cohort study. Circ Cardiovasc Qual Outcomes. 2012 May;5(3):335–342.) - Further validation in 1603 nonanticoagulated patients with incident atrial fibrillation from a Danish prospective cohort study of 57 053 middle-aged men and women.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However, the original score was validated using the Euro Heart Survey on AF.</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176C3"/>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176C3"/>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176C3"/>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176C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176C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176C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176C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176C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176C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176C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176C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176C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176C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176C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176C3"/>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0176C3"/>
    <w:rPr>
      <w:i w:val="1"/>
      <w:iCs w:val="1"/>
      <w:color w:val="404040" w:themeColor="text1" w:themeTint="0000BF"/>
    </w:rPr>
  </w:style>
  <w:style w:type="paragraph" w:styleId="ListParagraph">
    <w:name w:val="List Paragraph"/>
    <w:basedOn w:val="Normal"/>
    <w:uiPriority w:val="34"/>
    <w:qFormat w:val="1"/>
    <w:rsid w:val="000176C3"/>
    <w:pPr>
      <w:ind w:left="720"/>
      <w:contextualSpacing w:val="1"/>
    </w:pPr>
  </w:style>
  <w:style w:type="character" w:styleId="IntenseEmphasis">
    <w:name w:val="Intense Emphasis"/>
    <w:basedOn w:val="DefaultParagraphFont"/>
    <w:uiPriority w:val="21"/>
    <w:qFormat w:val="1"/>
    <w:rsid w:val="000176C3"/>
    <w:rPr>
      <w:i w:val="1"/>
      <w:iCs w:val="1"/>
      <w:color w:val="0f4761" w:themeColor="accent1" w:themeShade="0000BF"/>
    </w:rPr>
  </w:style>
  <w:style w:type="paragraph" w:styleId="IntenseQuote">
    <w:name w:val="Intense Quote"/>
    <w:basedOn w:val="Normal"/>
    <w:next w:val="Normal"/>
    <w:link w:val="IntenseQuoteChar"/>
    <w:uiPriority w:val="30"/>
    <w:qFormat w:val="1"/>
    <w:rsid w:val="000176C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176C3"/>
    <w:rPr>
      <w:i w:val="1"/>
      <w:iCs w:val="1"/>
      <w:color w:val="0f4761" w:themeColor="accent1" w:themeShade="0000BF"/>
    </w:rPr>
  </w:style>
  <w:style w:type="character" w:styleId="IntenseReference">
    <w:name w:val="Intense Reference"/>
    <w:basedOn w:val="DefaultParagraphFont"/>
    <w:uiPriority w:val="32"/>
    <w:qFormat w:val="1"/>
    <w:rsid w:val="000176C3"/>
    <w:rPr>
      <w:b w:val="1"/>
      <w:bCs w:val="1"/>
      <w:smallCaps w:val="1"/>
      <w:color w:val="0f4761" w:themeColor="accent1" w:themeShade="0000BF"/>
      <w:spacing w:val="5"/>
    </w:rPr>
  </w:style>
  <w:style w:type="paragraph" w:styleId="NormalWeb">
    <w:name w:val="Normal (Web)"/>
    <w:basedOn w:val="Normal"/>
    <w:uiPriority w:val="99"/>
    <w:unhideWhenUsed w:val="1"/>
    <w:rsid w:val="000176C3"/>
    <w:pPr>
      <w:spacing w:after="100" w:afterAutospacing="1" w:before="100" w:beforeAutospacing="1"/>
    </w:pPr>
    <w:rPr>
      <w:rFonts w:ascii="Times New Roman" w:cs="Times New Roman" w:eastAsia="Times New Roman" w:hAnsi="Times New Roman"/>
    </w:rPr>
  </w:style>
  <w:style w:type="paragraph" w:styleId="whitespace-pre-wrap" w:customStyle="1">
    <w:name w:val="whitespace-pre-wrap"/>
    <w:basedOn w:val="Normal"/>
    <w:rsid w:val="007575FA"/>
    <w:pPr>
      <w:spacing w:after="100" w:afterAutospacing="1" w:before="100" w:beforeAutospacing="1"/>
    </w:pPr>
    <w:rPr>
      <w:rFonts w:ascii="Times New Roman" w:cs="Times New Roman" w:eastAsia="Times New Roman" w:hAnsi="Times New Roman"/>
    </w:rPr>
  </w:style>
  <w:style w:type="character" w:styleId="CommentReference">
    <w:name w:val="annotation reference"/>
    <w:basedOn w:val="DefaultParagraphFont"/>
    <w:uiPriority w:val="99"/>
    <w:semiHidden w:val="1"/>
    <w:unhideWhenUsed w:val="1"/>
    <w:rsid w:val="00D63960"/>
    <w:rPr>
      <w:sz w:val="16"/>
      <w:szCs w:val="16"/>
    </w:rPr>
  </w:style>
  <w:style w:type="paragraph" w:styleId="CommentText">
    <w:name w:val="annotation text"/>
    <w:basedOn w:val="Normal"/>
    <w:link w:val="CommentTextChar"/>
    <w:uiPriority w:val="99"/>
    <w:semiHidden w:val="1"/>
    <w:unhideWhenUsed w:val="1"/>
    <w:rsid w:val="00D63960"/>
    <w:rPr>
      <w:sz w:val="20"/>
      <w:szCs w:val="20"/>
    </w:rPr>
  </w:style>
  <w:style w:type="character" w:styleId="CommentTextChar" w:customStyle="1">
    <w:name w:val="Comment Text Char"/>
    <w:basedOn w:val="DefaultParagraphFont"/>
    <w:link w:val="CommentText"/>
    <w:uiPriority w:val="99"/>
    <w:semiHidden w:val="1"/>
    <w:rsid w:val="00D63960"/>
    <w:rPr>
      <w:sz w:val="20"/>
      <w:szCs w:val="20"/>
    </w:rPr>
  </w:style>
  <w:style w:type="paragraph" w:styleId="CommentSubject">
    <w:name w:val="annotation subject"/>
    <w:basedOn w:val="CommentText"/>
    <w:next w:val="CommentText"/>
    <w:link w:val="CommentSubjectChar"/>
    <w:uiPriority w:val="99"/>
    <w:semiHidden w:val="1"/>
    <w:unhideWhenUsed w:val="1"/>
    <w:rsid w:val="00D63960"/>
    <w:rPr>
      <w:b w:val="1"/>
      <w:bCs w:val="1"/>
    </w:rPr>
  </w:style>
  <w:style w:type="character" w:styleId="CommentSubjectChar" w:customStyle="1">
    <w:name w:val="Comment Subject Char"/>
    <w:basedOn w:val="CommentTextChar"/>
    <w:link w:val="CommentSubject"/>
    <w:uiPriority w:val="99"/>
    <w:semiHidden w:val="1"/>
    <w:rsid w:val="00D63960"/>
    <w:rPr>
      <w:b w:val="1"/>
      <w:bCs w:val="1"/>
      <w:sz w:val="20"/>
      <w:szCs w:val="20"/>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ciencedirect.com/science/article/pii/S0012369210600670?via%3Dihub#tbl5" TargetMode="External"/><Relationship Id="rId8" Type="http://schemas.openxmlformats.org/officeDocument/2006/relationships/hyperlink" Target="https://www.sciencedirect.com/science/article/pii/S0012369210600670?via%3Dihub#tbl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rwcBcDPFaysP08NRM1skwovaGw==">CgMxLjA4AHIhMXl2MGo1X0ZmTUhCZ1pPVHhyNzdsZDFhU1Q2NEdhMVZj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2024-02-16T15:51:00Z</dcterms:created>
  <dc:creator>Paulius Rauba</dc:creator>
</cp:coreProperties>
</file>