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Atrial fibrillation: diagnosis and management</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Overview</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guideline covers diagnosing and managing atrial fibrillation in adults. It includes guidance on providing the best care and treatment for people with atrial fibrillation, including assessing and managing risks of stroke and bleeding.</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Detection and diagnosis </w:t>
      </w:r>
    </w:p>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Perform manual pulse palpation to assess for the presence of an irregular pulse if there is a suspicion of atrial fibrillation. This includes people presenting with any of the following: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breathlessness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palpitations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syncope or dizziness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chest discomfort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stroke or transient ischaemic attack. [2006]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Perform a 12-lead electrocardiogram (ECG) to make a diagnosis of atrial fibrillation if an irregular pulse is detected in people with suspected atrial fibrillation with or without symptoms. [2021]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 In people with suspected paroxysmal atrial fibrillation undetected by 12-lead ECG recording: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a 24-hour ambulatory ECG monitor if asymptomatic episodes are suspected or symptomatic episodes are less than 24 hours apart</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an ambulatory ECG monitor, event recorder or other ECG technology for a period appropriate to detect atrial fibrillation if symptomatic episodes are more than 24 hours apart. [2021]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Assessment of stroke and bleeding risks </w:t>
      </w:r>
    </w:p>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Stroke risk </w:t>
      </w:r>
    </w:p>
    <w:p w:rsidR="00000000" w:rsidDel="00000000" w:rsidP="00000000" w:rsidRDefault="00000000" w:rsidRPr="00000000" w14:paraId="0000001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 Use the CHA2DS2-VASc stroke risk score to assess stroke risk in people with any of the following:</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symptomatic or asymptomatic paroxysmal, persistent or permanent atrial fibrillation</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atrial flutter</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continuing risk of arrhythmia recurrence after cardioversion back to sinus rhythm or catheter ablation. [2021]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the section on review of people with atrial fibrillation for advice on reassessment of stroke risk.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Bleeding risk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Assess the risk of bleeding when: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considering starting anticoagulation in people with atrial fibrillation and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reviewing people already taking anticoagulation.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ORBIT bleeding risk score because evidence shows that it has a higher accuracy in predicting absolute bleeding risk than other bleeding risk tools. Accurate knowledge of bleeding risk supports shared decision making and has practical benefits, for example, increasing patient confidence and willingness to accept treatment when risk is low and prompting discussion of risk reduction when risk is high. Although ORBIT is the best tool for this purpose, other bleeding risk tools may need to be used until it is embedded in clinical pathways and electronic systems. [2021]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 Offer monitoring and support to modify risk factors for bleeding, including: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uncontrolled hypertension (see NICE's guideline on hypertension in adults)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poor control of international normalised ratio (INR) in patients on vitamin K antagonists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concurrent medication, including antiplatelets, selective serotonin reuptake inhibitors (SSRIs) and non-steroidal anti-inflammatory drugs (NSAIDs)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harmful alcohol consumption (see NICE's guideline on alcohol-use disorders: diagnosis, assessment and management of harmful drinking and alcohol dependence)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reversible causes of anaemia. [2021]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Discussing the results of the risk assessment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 Discuss the results of the assessments of stroke and bleeding risk with the person taking into account their specific characteristics, for example comorbidities, and their individual preferences. For further guidance, see the section on enabling patients to actively participate in their care in NICE's guideline on patient experience in adult NHS services. [2021]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Assessment of cardiac function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 Perform transthoracic echocardiography (TTE) in people with atrial fibrillation: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whom a baseline echocardiogram is important for long-term management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whom a rhythm-control strategy that includes cardioversion (electrical or pharmacological) is being considered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whom there is a high risk or a suspicion of underlying structural or functional heart disease (such as heart failure or heart murmur) that influences their subsequent management (for example, choice of antiarrhythmic drug)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whom refinement of clinical risk stratification for antithrombotic therapy is needed (see section 1.2 on assessment of stroke and bleeding risks and section 1.6 on stroke prevention). [2006, amended 2014]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 Do not routinely perform TTE solely for the purpose of further stroke risk stratification in people with atrial fibrillation for whom the need to start anticoagulation therapy has already been agreed on appropriate clinical criteria (see section 1.2 on assessment of stroke and bleeding risks and section 1.6 on stroke prevention). [2006, amended 2014]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 Perform transoesophageal echocardiography (TOE) in people with atrial fibrillation: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TTE demonstrates an abnormality (such as valvular heart disease) that warrants further specific assessment</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whom TTE is technically difficult and/or of questionable quality and when there is a need to exclude cardiac abnormalities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whom TOE-guided cardioversion is being considered. [2006]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1.6 Stroke prevention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Anticoagulation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When discussing the benefits and risks of anticoagulation use clinical risk profiles and personal preferences to guide treatment choices. Discuss with the person that: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most people the benefit of anticoagulation outweighs the bleeding risk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people with an increased risk of bleeding, the benefit of anticoagulation may not always outweigh the bleeding risk, and careful monitoring of bleeding risk is important. [2021]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When deciding between anticoagulation treatment options: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Discuss the risks and benefits of different drugs with the person and follow the recommendations in NICE's guideline on shared decision making.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Follow the recommendations on patient involvement in decisions about medicines in NICE's guideline on medicines adherence and patient decision aids in NICE's guideline on medicines optimisation.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Take into account any contraindications for each drug and follow the guidance in the British National Formulary and the MHRA advice on directacting oral anticoagulants, in particular for advice on dosages in people with renal impairment, reversal agents and monitoring. [2021]</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 Offer anticoagulation with a direct-acting oral anticoagulant to people with atrial fibrillation and a CHA2DS2-VASc score of 2 or above, taking into account the risk of bleeding. Apixaban, dabigatran, edoxaban and rivaroxaban are recommended as options, when used in line with the criteria specified in the relevant NICE technology appraisal guidance (see the section on direct-acting oral anticoagulant treatment options). [2021]</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 Consider anticoagulation with a direct-acting oral anticoagulant for men with atrial fibrillation and a CHA2DS2-VASc score of 1, taking into account the risk of bleeding. Apixaban, dabigatran, edoxaban and rivaroxaban are recommended as options, when used in line with the criteria specified in the relevant NICE technology appraisal guidance (see the section on direct-acting oral anticoagulant treatment options). [2021] </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 If direct-acting oral anticoagulants are contraindicated, not tolerated or not suitable in people with atrial fibrillation, offer a vitamin K antagonist. See the section on self-monitoring and self-management of vitamin K antagonists. [2021]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 For adults with atrial fibrillation who are already taking a vitamin K antagonist and are stable, continue with their current medication and discuss the option of switching treatment at their next routine appointment, taking into account the person's time in therapeutic range. [2021] </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 Do not offer stroke prevention therapy with anticoagulation to people aged under 65 years with atrial fibrillation and no risk factors other than their sex (that is, very low risk of stroke equating to a CHA2DS2-VASc score of 0 for men or 1 for women). [2021]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 Do not withhold anticoagulation solely because of a person's age or their risk of falls. [2021]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Direct-acting oral anticoagulant treatment options </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 For direct-acting oral anticoagulants recommended as options in NICE technology appraisal guidance for preventing stroke and systemic embolism in some people with atrial fibrillation, see the guidance on: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edoxaban (TA355, 2021)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apixaban (TA275, 2021) </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rivaroxaban (TA256, 2021)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dabigatran etexilate (TA249, 2021). </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Review of people with atrial fibrillation </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1.6.15 For people who are not taking an anticoagulant, review stroke risk when they reach age 65 or if they develop any of the following at any age: </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diabetes </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heart failure </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peripheral arterial disease </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coronary heart disease </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stroke, transient ischaemic attack or systemic thromboembolism. [2014] </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1.6.16 For people who are not taking an anticoagulant because of bleeding risk or other factors, review stroke and bleeding risks annually, and ensure that all reviews and decisions are documented. [2014] </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1.6.17 For people who are taking an anticoagulant, review the need for anticoagulation and the quality of anticoagulation (taking into account MHRA advice on directacting oral anticoagulants about bleeding risk and the need to monitor renal function in patients with renal impairment) at least annually, or more frequently if clinically relevant events occur affecting anticoagulation or bleeding risk. [2014] </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Stopping anticoagulation </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 In people with a diagnosis of atrial fibrillation, do not stop anticoagulation solely because atrial fibrillation is no longer detectable. [2021] </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1.11.2 Base decisions to stop anticoagulation on a reassessment of stroke and bleeding risk using CHA2DS2-VASc and ORBIT and a discussion of the person's preferences. [2021]</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Rationale and impact </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sections briefly explain why the committee made the recommendations and how they might affect practice. </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Stroke risk Recommendation 1.2.1 </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the committee made the recommendations </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committee decided to prioritise identifying people above or below a certain risk threshold (discrimination) in its interpretation of the evidence rather than estimating a person's risk of stroke in absolute terms. </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evidence suggested that a score of 2 or more is the ideal threshold for the CHA2DS2-VASC in terms of indicating the need for anticoagulation. (Men with a CHA2DS2-VASc score of 1 were regarded as being at intermediate risk, and a group in whom anticoagulation should also be considered.) The evidence showed that this threshold of 2 or more offered a good combination of high sensitivity (0.92) and adequate specificity (0.23). </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 sensitivity means that the tool would correctly identify almost everyone who would later have a stroke if they did not receive anticoagulants. Importantly, this will allow them to be prescribed anticoagulants to reduce their risk of stroke. </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adequate specificity means that 23% of the people who would not later have a stroke (even when not taking anticoagulants) would be correctly identified as not needing anticoagulation. This would prevent these people from having adverse events from anticoagulants. It also means that 77% of people who would not later have a stroke (without anticoagulation) would be wrongly identified as needing anticoagulation. However, this was thought to be acceptable given the perceived lesser harms from unnecessarily giving anticoagulants compared with not giving anticoagulants to people who need them, together with the inevitable trade-off between sensitivity and specificity.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ATRIA stroke risk score was shown to have better overall accuracy, but although it had better specificity than CHA2DS2-VASc (fewer false-positive results) it had lower sensitivity, meaning that more people at risk would be missed (more false-negative results) compared with the CHA2DS2-VASc score. As already suggested, sensitivity was agreed by the committee to be more important than specificity because the risks of unnecessary anticoagulation are outweighed by the risks of not treating people who need anticoagulation. In addition, the ATRIA risk score may result in a time delay in calculating the results. </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committee also discussed that the evidence for the QStroke risk calculator suggested that it might be a useful tool. However, the evidence was limited, and they agreed that further research was needed. </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Stroke prevention </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 1.6.1 to 1.6.8</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the committee made the recommendations </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from an analysis of several studies showed that direct-acting oral anticoagulants are more effective than warfarin for a number of outcomes. An economic model also showed that they offered a better balance of benefits to costs than warfarin. There were no studies directly comparing the direct-acting anticoagulants head-to-head but indirect comparisons based on the clinical evidence showed that the different direct-acting oral anticoagulants offered different benefits depending on the outcome considered. When all these outcomes were combined in the cost-effectiveness analysis, apixaban was the most clinically effective and cost-effective anticoagulant based on UK drug tariff prices at the time. However, the committee had concerns over the lack of head-to-head comparisons, differences in the study populations and uncertainties in the economic model. </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evidence and their experience, the committee decided not to recommend one direct-acting oral anticoagulant over the others, but instead to emphasise that treatment should be tailored to the person's clinical needs and preferences. Each anticoagulant has different risks and benefits that should be considered and fully discussed with the person as part of informed shared decision making. The committee highlighted that the choice might be affected by factors such as renal impairment and swallowing difficulties, and that healthcare professionals should refer to the BNF for advice on contraindications and cautions. They also stressed the importance of adherence and factors that might affect this, such as dosing frequency, when making the decision. If direct-acting oral anticoagulants are not suitable, for example in people with antiphospholipid syndrome, the committee agreed that a vitamin K antagonist should be offered. </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people already established and stable on a vitamin K antagonist, the committee agreed that the benefits of changing to a direct-acting anticoagulant need to be discussed. Therefore, the risks and benefits of changing medication, the person's time in therapeutic range and the person's preferences should be explored at their next routine appointment.</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committee agreed that the existing thresholds for the CHA2DS2-VASc score threshold for anticoagulation are in line with current practice. </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bleeding risk scores may occasionally be used as a reason not to offer anticoagulation, the committee agreed that they should typically be used as a prompt to identify and manage modifiable risk factors for bleeding rather than as a reason for not offering anticoagulation in people at increased risk. The committee discussed that when anticoagulation is not given because of bleeding risk, people should have regular review and reconsideration for treatment. </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committee were concerned that anticoagulation is sometimes not recommended for people at risk of falls and for older people, even though age is factored into the bleeding risk score and falls are rarely a cause of major haemorrhage. Age was therefore added to the previous recommendation on people at risk of falls to ensure that anticoagulation is offered in this population when needed. The benefits and harms should be discussed with the person.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_GB"/>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100"/>
    </w:pPr>
    <w:rPr>
      <w:rFonts w:ascii="Times New Roman" w:cs="Times New Roman" w:eastAsia="Times New Roman" w:hAnsi="Times New Roman"/>
      <w:b w:val="1"/>
      <w:sz w:val="51"/>
      <w:szCs w:val="51"/>
    </w:rPr>
  </w:style>
  <w:style w:type="paragraph" w:styleId="Heading2">
    <w:name w:val="heading 2"/>
    <w:basedOn w:val="Normal"/>
    <w:next w:val="Normal"/>
    <w:pPr>
      <w:ind w:left="100"/>
    </w:pPr>
    <w:rPr>
      <w:rFonts w:ascii="Times New Roman" w:cs="Times New Roman" w:eastAsia="Times New Roman" w:hAnsi="Times New Roman"/>
      <w:b w:val="1"/>
      <w:sz w:val="42"/>
      <w:szCs w:val="42"/>
    </w:rPr>
  </w:style>
  <w:style w:type="paragraph" w:styleId="Heading3">
    <w:name w:val="heading 3"/>
    <w:basedOn w:val="Normal"/>
    <w:next w:val="Normal"/>
    <w:pPr>
      <w:ind w:left="100"/>
    </w:pPr>
    <w:rPr>
      <w:rFonts w:ascii="Times New Roman" w:cs="Times New Roman" w:eastAsia="Times New Roman" w:hAnsi="Times New Roman"/>
      <w:b w:val="1"/>
      <w:sz w:val="33"/>
      <w:szCs w:val="33"/>
    </w:rPr>
  </w:style>
  <w:style w:type="paragraph" w:styleId="Heading4">
    <w:name w:val="heading 4"/>
    <w:basedOn w:val="Normal"/>
    <w:next w:val="Normal"/>
    <w:pPr>
      <w:ind w:left="100" w:right="2430"/>
    </w:pPr>
    <w:rPr>
      <w:sz w:val="28"/>
      <w:szCs w:val="28"/>
    </w:rPr>
  </w:style>
  <w:style w:type="paragraph" w:styleId="Heading5">
    <w:name w:val="heading 5"/>
    <w:basedOn w:val="Normal"/>
    <w:next w:val="Normal"/>
    <w:pPr>
      <w:ind w:left="100"/>
    </w:pPr>
    <w:rPr>
      <w:b w:val="1"/>
      <w:sz w:val="27"/>
      <w:szCs w:val="27"/>
    </w:rPr>
  </w:style>
  <w:style w:type="paragraph" w:styleId="Heading6">
    <w:name w:val="heading 6"/>
    <w:basedOn w:val="Normal"/>
    <w:next w:val="Normal"/>
    <w:pPr>
      <w:spacing w:before="1" w:lineRule="auto"/>
      <w:ind w:left="925"/>
    </w:pPr>
    <w:rPr>
      <w:b w:val="1"/>
      <w:sz w:val="24"/>
      <w:szCs w:val="24"/>
    </w:rPr>
  </w:style>
  <w:style w:type="paragraph" w:styleId="Title">
    <w:name w:val="Title"/>
    <w:basedOn w:val="Normal"/>
    <w:next w:val="Normal"/>
    <w:pPr>
      <w:spacing w:before="1" w:lineRule="auto"/>
      <w:ind w:left="100" w:right="2430"/>
    </w:pPr>
    <w:rPr>
      <w:rFonts w:ascii="Times New Roman" w:cs="Times New Roman" w:eastAsia="Times New Roman" w:hAnsi="Times New Roman"/>
      <w:b w:val="1"/>
      <w:sz w:val="66"/>
      <w:szCs w:val="66"/>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236"/>
      <w:ind w:left="100"/>
    </w:pPr>
    <w:rPr>
      <w:sz w:val="24"/>
      <w:szCs w:val="24"/>
    </w:rPr>
  </w:style>
  <w:style w:type="paragraph" w:styleId="TOC2">
    <w:name w:val="toc 2"/>
    <w:basedOn w:val="Normal"/>
    <w:uiPriority w:val="1"/>
    <w:qFormat w:val="1"/>
    <w:pPr>
      <w:spacing w:before="217"/>
      <w:ind w:left="295"/>
    </w:pPr>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925" w:hanging="825"/>
    </w:pPr>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w2MZMPyORsH248VUOX4u0nLTkQ==">CgMxLjA4AHIhMTl1WWpTaE9lT08yM1ljLU1tOHJoUS1jTXBvTmRvZmc3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2024-07-22T08:10:00Z</dcterms:created>
  <dc:creator>National Institute for Health and Care Excellence (NICE)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2023-05-24T00:00:00Z</vt:lpwstr>
  </property>
  <property fmtid="{D5CDD505-2E9C-101B-9397-08002B2CF9AE}" pid="3" name="Creator">
    <vt:lpwstr>NICE Publications</vt:lpwstr>
  </property>
  <property fmtid="{D5CDD505-2E9C-101B-9397-08002B2CF9AE}" pid="4" name="LastSaved">
    <vt:lpwstr>2024-07-22T00:00:00Z</vt:lpwstr>
  </property>
  <property fmtid="{D5CDD505-2E9C-101B-9397-08002B2CF9AE}" pid="5" name="Producer">
    <vt:lpwstr>3-Heights(TM) PDF Security Shell 4.8.25.2 (http://www.pdf-tools.com)</vt:lpwstr>
  </property>
</Properties>
</file>