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02C57"/>
          <w:sz w:val="44"/>
        </w:rPr>
        <w:t>RetailCorp Standard Operating Procedures (SOP)</w:t>
      </w:r>
    </w:p>
    <w:p>
      <w:r>
        <w:rPr>
          <w:i/>
          <w:color w:val="505A64"/>
          <w:sz w:val="24"/>
        </w:rPr>
        <w:t>Master Knowledge Base for AI Agent RAG Ingestion &amp; Tier-1 Support Operations</w:t>
      </w:r>
    </w:p>
    <w:p>
      <w:pPr>
        <w:spacing w:after="160"/>
      </w:pPr>
    </w:p>
    <w:tbl>
      <w:tblPr>
        <w:tblW w:type="auto" w:w="0"/>
        <w:jc w:val="center"/>
        <w:tblLook w:firstColumn="1" w:firstRow="1" w:lastColumn="0" w:lastRow="0" w:noHBand="0" w:noVBand="1" w:val="04A0"/>
        <w:tblBorders>
          <w:top w:val="single" w:sz="4" w:space="0" w:color="D3D3D3"/>
          <w:left w:val="none" w:sz="0" w:space="0" w:color="auto"/>
          <w:bottom w:val="single" w:sz="6" w:space="0" w:color="D3D3D3"/>
          <w:right w:val="none" w:sz="0" w:space="0" w:color="auto"/>
          <w:insideH w:val="single" w:sz="4" w:space="0" w:color="D3D3D3"/>
          <w:insideV w:val="none" w:sz="0" w:space="0" w:color="auto"/>
        </w:tblBorders>
      </w:tblPr>
      <w:tblGrid>
        <w:gridCol w:w="4680"/>
        <w:gridCol w:w="4680"/>
      </w:tblGrid>
      <w:tr>
        <w:tc>
          <w:tcPr>
            <w:tcW w:type="dxa" w:w="3168"/>
            <w:shd w:fill="102C57"/>
          </w:tcPr>
          <w:p>
            <w:r>
              <w:rPr>
                <w:b/>
                <w:color w:val="FFFFFF"/>
              </w:rPr>
              <w:t>Document Property</w:t>
            </w:r>
          </w:p>
        </w:tc>
        <w:tc>
          <w:tcPr>
            <w:tcW w:type="dxa" w:w="6192"/>
            <w:shd w:fill="102C57"/>
          </w:tcPr>
          <w:p>
            <w:r>
              <w:rPr>
                <w:b/>
                <w:color w:val="FFFFFF"/>
              </w:rPr>
              <w:t>Specification</w:t>
            </w:r>
          </w:p>
        </w:tc>
      </w:tr>
      <w:tr>
        <w:tc>
          <w:tcPr>
            <w:tcW w:type="dxa" w:w="3168"/>
            <w:shd w:fill="F5F7FA"/>
          </w:tcPr>
          <w:p>
            <w:r>
              <w:rPr>
                <w:b/>
              </w:rPr>
              <w:t>Document Reference</w:t>
            </w:r>
          </w:p>
        </w:tc>
        <w:tc>
          <w:tcPr>
            <w:tcW w:type="dxa" w:w="6192"/>
            <w:shd w:fill="F5F7FA"/>
          </w:tcPr>
          <w:p>
            <w:r>
              <w:t>CORP-SOP-KB-2026-V2</w:t>
            </w:r>
          </w:p>
        </w:tc>
      </w:tr>
      <w:tr>
        <w:tc>
          <w:tcPr>
            <w:tcW w:type="dxa" w:w="3168"/>
          </w:tcPr>
          <w:p>
            <w:r>
              <w:rPr>
                <w:b/>
              </w:rPr>
              <w:t>Target Audience</w:t>
            </w:r>
          </w:p>
        </w:tc>
        <w:tc>
          <w:tcPr>
            <w:tcW w:type="dxa" w:w="6192"/>
          </w:tcPr>
          <w:p>
            <w:r>
              <w:t>AI Support Resolution Agent, Human Tier-1 &amp; Tier-2 Support Specialists</w:t>
            </w:r>
          </w:p>
        </w:tc>
      </w:tr>
      <w:tr>
        <w:tc>
          <w:tcPr>
            <w:tcW w:type="dxa" w:w="3168"/>
            <w:shd w:fill="F5F7FA"/>
          </w:tcPr>
          <w:p>
            <w:r>
              <w:rPr>
                <w:b/>
              </w:rPr>
              <w:t>Effective Date</w:t>
            </w:r>
          </w:p>
        </w:tc>
        <w:tc>
          <w:tcPr>
            <w:tcW w:type="dxa" w:w="6192"/>
            <w:shd w:fill="F5F7FA"/>
          </w:tcPr>
          <w:p>
            <w:r>
              <w:t>January 1, 2026</w:t>
            </w:r>
          </w:p>
        </w:tc>
      </w:tr>
      <w:tr>
        <w:tc>
          <w:tcPr>
            <w:tcW w:type="dxa" w:w="3168"/>
          </w:tcPr>
          <w:p>
            <w:r>
              <w:rPr>
                <w:b/>
              </w:rPr>
              <w:t>Last Reviewed / Updated</w:t>
            </w:r>
          </w:p>
        </w:tc>
        <w:tc>
          <w:tcPr>
            <w:tcW w:type="dxa" w:w="6192"/>
          </w:tcPr>
          <w:p>
            <w:r>
              <w:t>August 31, 2026</w:t>
            </w:r>
          </w:p>
        </w:tc>
      </w:tr>
      <w:tr>
        <w:tc>
          <w:tcPr>
            <w:tcW w:type="dxa" w:w="3168"/>
            <w:shd w:fill="F5F7FA"/>
          </w:tcPr>
          <w:p>
            <w:r>
              <w:rPr>
                <w:b/>
              </w:rPr>
              <w:t>Vector Store Target</w:t>
            </w:r>
          </w:p>
        </w:tc>
        <w:tc>
          <w:tcPr>
            <w:tcW w:type="dxa" w:w="6192"/>
            <w:shd w:fill="F5F7FA"/>
          </w:tcPr>
          <w:p>
            <w:r>
              <w:t>enterprise_sop_kb (ChromaDB / Vector Database)</w:t>
            </w:r>
          </w:p>
        </w:tc>
      </w:tr>
      <w:tr>
        <w:tc>
          <w:tcPr>
            <w:tcW w:type="dxa" w:w="3168"/>
          </w:tcPr>
          <w:p>
            <w:r>
              <w:rPr>
                <w:b/>
              </w:rPr>
              <w:t>Governing Principle</w:t>
            </w:r>
          </w:p>
        </w:tc>
        <w:tc>
          <w:tcPr>
            <w:tcW w:type="dxa" w:w="6192"/>
          </w:tcPr>
          <w:p>
            <w:r>
              <w:t>Deterministic Policy Enforcement &amp; Zero-PII Compliance</w:t>
            </w:r>
          </w:p>
        </w:tc>
      </w:tr>
    </w:tbl>
    <w:p>
      <w:pPr>
        <w:spacing w:after="240"/>
      </w:pPr>
    </w:p>
    <w:p>
      <w:pPr>
        <w:pStyle w:val="Heading1"/>
      </w:pPr>
      <w:r>
        <w:rPr>
          <w:color w:val="102C57"/>
        </w:rPr>
        <w:t>[SOP-RET-01] Apparel &amp; General Merchandise Return Policy</w:t>
      </w:r>
    </w:p>
    <w:p>
      <w:r>
        <w:rPr>
          <w:b/>
          <w:color w:val="184C78"/>
        </w:rPr>
        <w:t>Category: Returns &amp; Refunds  |  Version: v2.1  |  SOP ID: SOP-RET-01</w:t>
        <w:br/>
      </w:r>
      <w:r>
        <w:t>Summary: Standard operating procedure governing returns, refunds, and exchanges for apparel, footwear, and general merchandise.</w:t>
      </w:r>
    </w:p>
    <w:p>
      <w:pPr>
        <w:spacing w:before="80" w:after="80"/>
      </w:pPr>
      <w:r>
        <w:rPr>
          <w:b/>
        </w:rPr>
        <w:t xml:space="preserve">• Eligibility Window: </w:t>
      </w:r>
      <w:r>
        <w:t>Items must be returned within 30 calendar days from the carrier delivery scan timestamp. Items must be unworn, unwashed, and in original packaging with all tags attached.</w:t>
      </w:r>
    </w:p>
    <w:p>
      <w:pPr>
        <w:spacing w:before="80" w:after="80"/>
      </w:pPr>
      <w:r>
        <w:rPr>
          <w:b/>
        </w:rPr>
        <w:t xml:space="preserve">• Return Shipping Fees: </w:t>
      </w:r>
      <w:r>
        <w:t>Standard return shipping labels incur a flat $5.99 deduction from the refund total. Return shipping is free if the return reason is confirmed as 'Damaged in Transit', 'Defective Item', or 'Incorrect SKU Dispatched'.</w:t>
      </w:r>
    </w:p>
    <w:p>
      <w:pPr>
        <w:spacing w:before="80" w:after="80"/>
      </w:pPr>
      <w:r>
        <w:rPr>
          <w:b/>
        </w:rPr>
        <w:t xml:space="preserve">• Non-Returnable Items: </w:t>
      </w:r>
      <w:r>
        <w:t>Undergarments, swimwear without hygiene seals, gift cards, and items marked 'Final Sale' or 'Clearance' are strictly non-returnable and non-refundable.</w:t>
      </w:r>
    </w:p>
    <w:p>
      <w:pPr>
        <w:spacing w:after="120"/>
      </w:pPr>
    </w:p>
    <w:p>
      <w:pPr>
        <w:pStyle w:val="Heading1"/>
      </w:pPr>
      <w:r>
        <w:rPr>
          <w:color w:val="102C57"/>
        </w:rPr>
        <w:t>[SOP-ELEC-02] Consumer Electronics &amp; Hardware Returns and Warranty</w:t>
      </w:r>
    </w:p>
    <w:p>
      <w:r>
        <w:rPr>
          <w:b/>
          <w:color w:val="184C78"/>
        </w:rPr>
        <w:t>Category: Electronics  |  Version: v3.0  |  SOP ID: SOP-ELEC-02</w:t>
        <w:br/>
      </w:r>
      <w:r>
        <w:t>Summary: Policy governing consumer electronics, laptops, monitors, smart wearables, restocking fee conditions, and manufacturer warranty routing.</w:t>
      </w:r>
    </w:p>
    <w:p>
      <w:pPr>
        <w:spacing w:before="80" w:after="80"/>
      </w:pPr>
      <w:r>
        <w:rPr>
          <w:b/>
        </w:rPr>
        <w:t xml:space="preserve">• 15-Day Return Window: </w:t>
      </w:r>
      <w:r>
        <w:t>Consumer electronics are subject to a strict 15-day return window from the confirmed delivery date. Factory-sealed items receive a 100% full refund.</w:t>
      </w:r>
    </w:p>
    <w:p>
      <w:pPr>
        <w:spacing w:before="80" w:after="80"/>
      </w:pPr>
      <w:r>
        <w:rPr>
          <w:b/>
        </w:rPr>
        <w:t xml:space="preserve">• Restocking Fee: </w:t>
      </w:r>
      <w:r>
        <w:t>An automatic 10% restocking fee applies to all unsealed, opened, or tested electronic items, deducted directly from the final refund credit.</w:t>
      </w:r>
    </w:p>
    <w:p>
      <w:pPr>
        <w:spacing w:before="80" w:after="80"/>
      </w:pPr>
      <w:r>
        <w:rPr>
          <w:b/>
        </w:rPr>
        <w:t xml:space="preserve">• Post-15-Day Warranty Escalation: </w:t>
      </w:r>
      <w:r>
        <w:t>Past 15 days, direct store returns and cash refunds are strictly blocked. All technical faults, defective screens, or hardware failures must be routed directly to the 1-Year Manufacturer Limited Warranty portal.</w:t>
      </w:r>
    </w:p>
    <w:p>
      <w:pPr>
        <w:spacing w:after="120"/>
      </w:pPr>
    </w:p>
    <w:p>
      <w:pPr>
        <w:pStyle w:val="Heading1"/>
      </w:pPr>
      <w:r>
        <w:rPr>
          <w:color w:val="102C57"/>
        </w:rPr>
        <w:t>[SOP-ORD-03] Order Cancellation and Modification Window</w:t>
      </w:r>
    </w:p>
    <w:p>
      <w:r>
        <w:rPr>
          <w:b/>
          <w:color w:val="184C78"/>
        </w:rPr>
        <w:t>Category: Order Management  |  Version: v1.8  |  SOP ID: SOP-ORD-03</w:t>
        <w:br/>
      </w:r>
      <w:r>
        <w:t>Summary: Rules governing customer cancellation and modification requests across order fulfillment stages.</w:t>
      </w:r>
    </w:p>
    <w:p>
      <w:pPr>
        <w:spacing w:before="80" w:after="80"/>
      </w:pPr>
      <w:r>
        <w:rPr>
          <w:b/>
        </w:rPr>
        <w:t xml:space="preserve">• Processing Stage Window: </w:t>
      </w:r>
      <w:r>
        <w:t>Orders can only be modified or canceled while in 'Processing' status (typically up to 60 minutes after initial order placement).</w:t>
      </w:r>
    </w:p>
    <w:p>
      <w:pPr>
        <w:spacing w:before="80" w:after="80"/>
      </w:pPr>
      <w:r>
        <w:rPr>
          <w:b/>
        </w:rPr>
        <w:t xml:space="preserve">• Locked Transit Stage: </w:t>
      </w:r>
      <w:r>
        <w:t>Once an order transitions to 'In Transit' or 'Fulfilled' in the Order Management System (OMS), warehouse automation locks the shipment. Neither automated AI agents nor human support specialists can halt transit.</w:t>
      </w:r>
    </w:p>
    <w:p>
      <w:pPr>
        <w:spacing w:before="80" w:after="80"/>
      </w:pPr>
      <w:r>
        <w:rPr>
          <w:b/>
        </w:rPr>
        <w:t xml:space="preserve">• Customer Resolution Path: </w:t>
      </w:r>
      <w:r>
        <w:t>Customers requesting mid-transit cancellations must be instructed to accept delivery and immediately initiate an authorized return RMA via the self-service portal.</w:t>
      </w:r>
    </w:p>
    <w:p>
      <w:pPr>
        <w:spacing w:after="120"/>
      </w:pPr>
    </w:p>
    <w:p>
      <w:pPr>
        <w:pStyle w:val="Heading1"/>
      </w:pPr>
      <w:r>
        <w:rPr>
          <w:color w:val="102C57"/>
        </w:rPr>
        <w:t>[SOP-LOG-04] Lost in Transit Claims and Carrier Tracing</w:t>
      </w:r>
    </w:p>
    <w:p>
      <w:r>
        <w:rPr>
          <w:b/>
          <w:color w:val="184C78"/>
        </w:rPr>
        <w:t>Category: Shipping &amp; Logistics  |  Version: v1.5  |  SOP ID: SOP-LOG-04</w:t>
        <w:br/>
      </w:r>
      <w:r>
        <w:t>Summary: Standard operating procedure for tracking stalls, shipping delays, carrier buffer times, and lost parcel claims.</w:t>
      </w:r>
    </w:p>
    <w:p>
      <w:pPr>
        <w:spacing w:before="80" w:after="80"/>
      </w:pPr>
      <w:r>
        <w:rPr>
          <w:b/>
        </w:rPr>
        <w:t xml:space="preserve">• Lost Shipment Threshold: </w:t>
      </w:r>
      <w:r>
        <w:t>A package is only deemed officially 'Lost in Transit' when carrier tracking displays no scan updates for at least 7 consecutive business days.</w:t>
      </w:r>
    </w:p>
    <w:p>
      <w:pPr>
        <w:spacing w:before="80" w:after="80"/>
      </w:pPr>
      <w:r>
        <w:rPr>
          <w:b/>
        </w:rPr>
        <w:t xml:space="preserve">• Premature Inquiries (&lt;7 Days): </w:t>
      </w:r>
      <w:r>
        <w:t>For shipments delayed fewer than 7 business days without movement, agents must advise customers to allow standard carrier network clearing buffers.</w:t>
      </w:r>
    </w:p>
    <w:p>
      <w:pPr>
        <w:spacing w:before="80" w:after="80"/>
      </w:pPr>
      <w:r>
        <w:rPr>
          <w:b/>
        </w:rPr>
        <w:t xml:space="preserve">• Resolution Actions (≥7 Days): </w:t>
      </w:r>
      <w:r>
        <w:t>Once 7 business days have passed without movement, agents may initiate an immediate zero-cost replacement shipment or issue a 100% full refund after opening a carrier tracer claim.</w:t>
      </w:r>
    </w:p>
    <w:p>
      <w:pPr>
        <w:spacing w:after="120"/>
      </w:pPr>
    </w:p>
    <w:p>
      <w:pPr>
        <w:pStyle w:val="Heading1"/>
      </w:pPr>
      <w:r>
        <w:rPr>
          <w:color w:val="102C57"/>
        </w:rPr>
        <w:t>[SOP-SAFE-05] Data Privacy, Courier Safety, and Escalation Protocols</w:t>
      </w:r>
    </w:p>
    <w:p>
      <w:r>
        <w:rPr>
          <w:b/>
          <w:color w:val="184C78"/>
        </w:rPr>
        <w:t>Category: Safety &amp; Compliance  |  Version: v2.0  |  SOP ID: SOP-SAFE-05</w:t>
        <w:br/>
      </w:r>
      <w:r>
        <w:t>Summary: Guidelines for zero-PII protection, driver physical security, and deterministic human supervisor escalation.</w:t>
      </w:r>
    </w:p>
    <w:p>
      <w:pPr>
        <w:spacing w:before="80" w:after="80"/>
      </w:pPr>
      <w:r>
        <w:rPr>
          <w:b/>
        </w:rPr>
        <w:t xml:space="preserve">• Driver / Courier Privacy Protection: </w:t>
      </w:r>
      <w:r>
        <w:t>Under NO circumstances can an agent or automated system disclose delivery driver full names, personal phone numbers, vehicle license plates, or dispatch depot addresses. Inquiries demanding courier personal details must be refused immediately.</w:t>
      </w:r>
    </w:p>
    <w:p>
      <w:pPr>
        <w:spacing w:before="80" w:after="80"/>
      </w:pPr>
      <w:r>
        <w:rPr>
          <w:b/>
        </w:rPr>
        <w:t xml:space="preserve">• High-Hazard Escalation Triggers: </w:t>
      </w:r>
      <w:r>
        <w:t>Reports involving expired infant formula, contaminated consumables, electrical fire hazards, or legal litigation threats must immediately bypass automated deflection and route directly to the Tier-2 Supervisor Queue with a sanitized context packet.</w:t>
      </w:r>
    </w:p>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