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sz w:val="28"/>
        </w:rPr>
        <w:t>Projektbericht zum Modul Information Visualisierung</w:t>
      </w:r>
    </w:p>
    <w:p>
      <w:pPr>
        <w:spacing w:after="480"/>
        <w:jc w:val="center"/>
      </w:pPr>
      <w:r>
        <w:rPr>
          <w:i w:val="0"/>
          <w:sz w:val="24"/>
        </w:rPr>
        <w:t>Sommersemester 2026</w:t>
      </w:r>
    </w:p>
    <w:p>
      <w:pPr>
        <w:spacing w:after="360"/>
        <w:jc w:val="center"/>
      </w:pPr>
      <w:r>
        <w:rPr>
          <w:b/>
          <w:i w:val="0"/>
          <w:color w:val="0F766E"/>
          <w:sz w:val="44"/>
        </w:rPr>
        <w:t>EnergyCharts – Visual Analytics des</w:t>
        <w:br/>
        <w:t>europäischen Stromsystems</w:t>
      </w:r>
    </w:p>
    <w:p>
      <w:pPr>
        <w:spacing w:after="120"/>
        <w:jc w:val="center"/>
      </w:pPr>
      <w:r>
        <w:rPr>
          <w:i/>
        </w:rPr>
        <w:t>[ Namen und Matrikelnummern der Teammitglieder eintragen ]</w:t>
      </w:r>
    </w:p>
    <w:p>
      <w:pPr>
        <w:spacing w:after="120"/>
        <w:jc w:val="center"/>
      </w:pPr>
      <w:r>
        <w:rPr>
          <w:i w:val="0"/>
        </w:rPr>
        <w:t>2. Juli 2026</w:t>
      </w:r>
    </w:p>
    <w:p>
      <w:pPr>
        <w:jc w:val="center"/>
      </w:pPr>
      <w:r>
        <w:rPr>
          <w:i w:val="0"/>
          <w:color w:val="808080"/>
          <w:sz w:val="18"/>
        </w:rPr>
        <w:t>Hinweis: Titel, Namen und Matrikelnummern oben bitte ergänzen. Die Gliederung folgt exakt der vorgegebenen Vorlage.</w:t>
      </w:r>
    </w:p>
    <w:p>
      <w:r>
        <w:br w:type="page"/>
      </w:r>
    </w:p>
    <w:p>
      <w:pPr>
        <w:pStyle w:val="Heading1"/>
      </w:pPr>
      <w:r>
        <w:t>1  Einleitung</w:t>
      </w:r>
    </w:p>
    <w:p>
      <w:r>
        <w:rPr>
          <w:i w:val="0"/>
        </w:rPr>
        <w:t>Die Energiewende macht das Stromsystem volatiler und komplexer: Ein wachsender Anteil der Erzeugung stammt aus wetter- und tageszeitabhängigen Quellen wie Photovoltaik und Wind, während Erzeugung und Verbrauch (Last) zu jedem Zeitpunkt im Gleichgewicht bleiben müssen. Wer ein Stromsystem verstehen oder beurteilen will, braucht deshalb einen schnellen Überblick darüber, woraus sich die Erzeugung zusammensetzt, ob sie die Last deckt, welchen zeitlichen Rhythmen sie folgt und wie sich die Erzeugung auf die einzelnen Quellen verteilt.</w:t>
      </w:r>
    </w:p>
    <w:p>
      <w:r>
        <w:rPr>
          <w:i w:val="0"/>
        </w:rPr>
        <w:t>Das Zielproblem dieses Projekts ist es, ein konkretes Stromsystem – ausgewählt über ein Land bzw. das europäische Aggregat und ein Zeitfenster – für die Zielgruppen verständlich und explorierbar zu machen. Aus diesem Zielproblem leiten wir drei Fragestellungen ab, die sich jeweils mit einer Technik der Informationsvisualisierung aus einem anderen Bereich beantworten lassen:</w:t>
      </w:r>
    </w:p>
    <w:p>
      <w:pPr>
        <w:pStyle w:val="ListBullet"/>
      </w:pPr>
      <w:r>
        <w:rPr>
          <w:b/>
        </w:rPr>
        <w:t xml:space="preserve">F1 – Zusammensetzung und Deckung: </w:t>
      </w:r>
      <w:r>
        <w:t>Wie setzt sich die Erzeugung über die Zeit zusammen, und wann deckt sie die Last?</w:t>
      </w:r>
    </w:p>
    <w:p>
      <w:pPr>
        <w:pStyle w:val="ListBullet"/>
      </w:pPr>
      <w:r>
        <w:rPr>
          <w:b/>
        </w:rPr>
        <w:t xml:space="preserve">F2 – Rhythmen: </w:t>
      </w:r>
      <w:r>
        <w:t>Welche täglichen und saisonalen Rhythmen hat insbesondere die erneuerbare Erzeugung?</w:t>
      </w:r>
    </w:p>
    <w:p>
      <w:pPr>
        <w:pStyle w:val="ListBullet"/>
      </w:pPr>
      <w:r>
        <w:rPr>
          <w:b/>
        </w:rPr>
        <w:t xml:space="preserve">F3 – Struktur/Anteile: </w:t>
      </w:r>
      <w:r>
        <w:t>Welchen Energieanteil trägt jede Quelle, und wie verteilt sich die Erzeugung auf Erneuerbar und Konventionell?</w:t>
      </w:r>
    </w:p>
    <w:p>
      <w:r>
        <w:rPr>
          <w:i w:val="0"/>
        </w:rPr>
        <w:t>Die drei Fragen sind bewusst so gewählt, dass sie das Zielproblem gemeinsam abdecken – Verlauf, Rhythmus und Struktur – und dass die drei entstehenden Sichten sich ergänzen, statt dieselbe Information zu wiederholen.</w:t>
      </w:r>
    </w:p>
    <w:p>
      <w:pPr>
        <w:pStyle w:val="Heading2"/>
      </w:pPr>
      <w:r>
        <w:t>1.1  Anwendungshintergrund</w:t>
      </w:r>
    </w:p>
    <w:p>
      <w:r>
        <w:rPr>
          <w:i w:val="0"/>
        </w:rPr>
        <w:t>In einem Stromsystem muss die momentane Erzeugung die momentane Last (den Verbrauch) jederzeit decken; Abweichungen zeigen sich als Frequenzabweichung und werden über Reserven und den europäischen Verbund ausgeglichen. Die Erzeugung speist sich aus erneuerbaren Quellen (Photovoltaik, Wind onshore/offshore, Wasserkraft, Biomasse) und konventionellen Quellen (Kernkraft, Braun- und Steinkohle, Gas und Öl). Entscheidend für das Verständnis ist, dass die erneuerbaren Quellen nicht frei steuerbar sind: Photovoltaik erzeugt nur tagsüber und maximal um die Mittagszeit, Windleistung schwankt wetterbedingt über Stunden und Tage. Die verbleibende, durch konventionelle Kraftwerke zu deckende Differenz aus Last und erneuerbarer Erzeugung bezeichnet man als Residuallast.</w:t>
      </w:r>
    </w:p>
    <w:p>
      <w:r>
        <w:rPr>
          <w:i w:val="0"/>
        </w:rPr>
        <w:t>Für die Zielgruppen ist damit weniger der einzelne Messwert interessant als die Muster: Folgt die Erzeugung dem Tagesverlauf der Last? Wie groß ist die nächtliche Deckungslücke der Erneuerbaren? Wie stark trägt eine einzelne Quelle zum Gesamtbild bei? Genau auf diese anwendungsseitigen Muster – nicht auf die technischen Details einzelner Kraftwerke – zielt die vorliegende Anwendung.</w:t>
      </w:r>
    </w:p>
    <w:p>
      <w:pPr>
        <w:pStyle w:val="Heading2"/>
      </w:pPr>
      <w:r>
        <w:t>1.2  Zielgruppen</w:t>
      </w:r>
    </w:p>
    <w:p>
      <w:r>
        <w:rPr>
          <w:i w:val="0"/>
        </w:rPr>
        <w:t>Die Anwendung richtet sich an Personen, die ein Stromsystem verstehen oder einordnen möchten, ohne selbst Netzbetrieb zu betreiben:</w:t>
      </w:r>
    </w:p>
    <w:p>
      <w:pPr>
        <w:pStyle w:val="ListBullet"/>
      </w:pPr>
      <w:r>
        <w:rPr>
          <w:b/>
        </w:rPr>
        <w:t xml:space="preserve">Studierende und Lehrende </w:t>
      </w:r>
      <w:r>
        <w:t>der Energiewirtschaft, Umwelt- und Ingenieurwissenschaften, die den Zusammenhang von Erzeugungsmix, Last und Rhythmen nachvollziehbar machen wollen.</w:t>
      </w:r>
    </w:p>
    <w:p>
      <w:pPr>
        <w:pStyle w:val="ListBullet"/>
      </w:pPr>
      <w:r>
        <w:rPr>
          <w:b/>
        </w:rPr>
        <w:t xml:space="preserve">Energie-Analyst:innen und Journalist:innen, </w:t>
      </w:r>
      <w:r>
        <w:t>die sich schnell einen Überblick über ein Land/einen Zeitraum verschaffen und auffällige Muster identifizieren müssen.</w:t>
      </w:r>
    </w:p>
    <w:p>
      <w:pPr>
        <w:pStyle w:val="ListBullet"/>
      </w:pPr>
      <w:r>
        <w:rPr>
          <w:b/>
        </w:rPr>
        <w:t xml:space="preserve">Fachlich interessierte Öffentlichkeit, </w:t>
      </w:r>
      <w:r>
        <w:t>die den Fortschritt der Dekarbonisierung und die Rolle einzelner Quellen vergleichen möchte.</w:t>
      </w:r>
    </w:p>
    <w:p>
      <w:r>
        <w:rPr>
          <w:i w:val="0"/>
        </w:rPr>
        <w:t>Als Vorwissen kann auf ein Grundverständnis von Stromerzeugung und Erzeugungsarten aufgebaut werden. Auf Seiten der Visualisierung sind den Zielgruppen gestapelte Flächen-/Balkendiagramme, sequentielle Farbskalen (hell→dunkel für „wenig→viel“) sowie Prozentanteile vertraut. Auch bestimmte Farbkonventionen sind etabliert und werden übernommen: Solar in Gelb, Wind in Blau, Kohle in dunklem Grau/Schwarz. Die Informationsbedürfnisse, die die Visualisierungen adressieren, sind: die zeitliche Zusammensetzung und Lastdeckung (F1), das Erkennen periodischer Muster (F2) sowie der schnelle Vergleich von Energieanteilen (F3).</w:t>
      </w:r>
    </w:p>
    <w:p>
      <w:pPr>
        <w:pStyle w:val="Heading2"/>
      </w:pPr>
      <w:r>
        <w:t>1.3  Überblick und Beiträge</w:t>
      </w:r>
    </w:p>
    <w:p>
      <w:r>
        <w:rPr>
          <w:i w:val="0"/>
        </w:rPr>
        <w:t>Datengrundlage ist die Tabelle energycharts_publicpower der Fraunhofer Energy-Charts-Plattform mit stunden- bzw. viertelstundenaufgelöster öffentlicher Netto-Stromerzeugung nach Quelle sowie der Last, je Land bzw. für das europäische Aggregat. Aus einer einzigen Abfrage (ein Land, ein Zeitfenster) speisen sich drei verbundene Sichten aus drei Bereichen: ein gestapeltes Flächendiagramm (Bereich Zeitreihen), eine Stunde×Tag-Heatmap (Bereich pixel-orientiert) und eine Treemap (Bereich Bäume). Die Beiträge des Projekts sind:</w:t>
      </w:r>
    </w:p>
    <w:p>
      <w:pPr>
        <w:pStyle w:val="ListBullet"/>
      </w:pPr>
      <w:r>
        <w:rPr>
          <w:b/>
        </w:rPr>
        <w:t xml:space="preserve">B1  </w:t>
      </w:r>
      <w:r>
        <w:t>Eine anwendungsgetriebene Auswahl dreier komplementärer Techniken, die gemeinsam Verlauf, Rhythmus und Struktur abdecken.</w:t>
      </w:r>
    </w:p>
    <w:p>
      <w:pPr>
        <w:pStyle w:val="ListBullet"/>
      </w:pPr>
      <w:r>
        <w:rPr>
          <w:b/>
        </w:rPr>
        <w:t xml:space="preserve">B2  </w:t>
      </w:r>
      <w:r>
        <w:t>Eine verbundene Interaktion (koordinierte Sichten): Hover hebt eine Quelle überall hervor, ein Klick auf einen Tag filtert die beiden anderen Sichten.</w:t>
      </w:r>
    </w:p>
    <w:p>
      <w:pPr>
        <w:pStyle w:val="ListBullet"/>
      </w:pPr>
      <w:r>
        <w:rPr>
          <w:b/>
        </w:rPr>
        <w:t xml:space="preserve">B3  </w:t>
      </w:r>
      <w:r>
        <w:t>Ein effizientes Ladeverfahren über zusammenhängende id-Blöcke, das die Eigenheiten der Tabellen-API umgeht (erste Diagramme in ~2–3 s).</w:t>
      </w:r>
    </w:p>
    <w:p>
      <w:pPr>
        <w:pStyle w:val="ListBullet"/>
      </w:pPr>
      <w:r>
        <w:rPr>
          <w:b/>
        </w:rPr>
        <w:t xml:space="preserve">B4  </w:t>
      </w:r>
      <w:r>
        <w:t>Eine durchgängig in Elm programmierte Datenvorverarbeitung (8 fachliche Bänder, stündliches Binning, Treemap-Summen, Null-Toleranz), die auf Änderungen der Rohdaten reagiert.</w:t>
      </w:r>
    </w:p>
    <w:p>
      <w:pPr>
        <w:pStyle w:val="ListBullet"/>
      </w:pPr>
      <w:r>
        <w:rPr>
          <w:b/>
        </w:rPr>
        <w:t xml:space="preserve">B5  </w:t>
      </w:r>
      <w:r>
        <w:t>Eine moderne, responsive Oberfläche, in der keine Elemente abgeschnitten oder unleserlich sind.</w:t>
      </w:r>
    </w:p>
    <w:p>
      <w:pPr>
        <w:pStyle w:val="Heading1"/>
      </w:pPr>
      <w:r>
        <w:t>2  Daten</w:t>
      </w:r>
    </w:p>
    <w:p>
      <w:r>
        <w:rPr>
          <w:i w:val="0"/>
        </w:rPr>
        <w:t>Grundlage ist die Tabelle energycharts_publicpower. Jede Zeile ist eine Messung und enthält einen Zeitstempel (unix_seconds), eine Länderkennung (country_id), die Last (load_in_gw) sowie rund 18 Erzeugungsspalten in Gigawatt (u. a. Solar, Wind onshore/offshore, Laufwasser/Speicher/Pumpspeicher, Biomasse, Geothermie, Kernkraft, Braun-/Steinkohle, Öl, Gas, Abfall, Sonstige). Abgedeckt sind rund 32 Länder sowie die Aggregate „all“/„eu“, in stündlicher bzw. viertelstündlicher Auflösung.</w:t>
      </w:r>
    </w:p>
    <w:p>
      <w:r>
        <w:rPr>
          <w:i w:val="0"/>
        </w:rPr>
        <w:t>Eignung und Grenzen: Für die Fragestellungen F1–F3 sind die Daten gut geeignet, da sie zeitlich aufgelöst und quellenscharf vorliegen und damit Zusammensetzung, Rhythmus und Anteile direkt abbildbar sind. Kritisch anzumerken ist: (a) In der bereitgestellten Entwicklungs-DB sind mehrere Länder (u. a. DE, AT, NL, ES) nur mit Null-Platzhaltern belegt; durchgängig befüllt sind das Europa-Aggregat „all“ sowie z. B. FR, IT, PL, CZ, CH, BE, SE, NO, DK. (b) Die Daten enthalten weder Preise noch Wetter-/Einstrahlungsgrößen noch Speicherfüllstände, sodass Ursachenanalysen nur eingeschränkt möglich sind. Externe Quellen wurden bewusst nicht ergänzt, um den Fokus auf den Erzeugungsmix zu halten; die Aufbereitung beschränkt sich auf Aggregation innerhalb des Datensatzes.</w:t>
      </w:r>
    </w:p>
    <w:p>
      <w:r>
        <w:rPr>
          <w:i w:val="0"/>
        </w:rPr>
        <w:t>Technische Bereitstellung: Der Zugriff erfolgt über eine Tabellen-API, die JSON liefert und ein Bearer-Token verlangt. Ein kleiner Node-Proxy holt das Token selbst (Basic-Auth) und leitet die Abfragen weiter, sodass kein manuelles Einfügen von Tokens nötig ist und zugleich CORS umgangen wird. Zwei selbst gemessene Eigenheiten bestimmen das Laden: Erstens wirken serverseitige Filter auf country_id (String) nicht; zweitens materialisiert eine Abfrage mit leerem where_ die gesamte Tabelle (~15 s), während numerische Filter schnell sind (&lt;1 s). Als Lade-Trick nutzen wir, dass die Zeilen pro Land in zusammenhängenden, zeitlich aufsteigenden id-Blöcken liegen: Eine gefilterte Abfrage der jüngsten Daten liefert zugleich den größten Zeitstempel und je Land die größte id (Block-Obergrenze); ein Land wird anschließend über einen numerischen id-Bereich in einer einzigen kleinen Abfrage geladen.</w:t>
      </w:r>
    </w:p>
    <w:p>
      <w:r>
        <w:rPr>
          <w:i w:val="0"/>
        </w:rPr>
        <w:t>Datenvorverarbeitung (in Elm, Modul Energy.elm, sodass sie auf geänderte Rohdaten reagiert):</w:t>
      </w:r>
    </w:p>
    <w:p>
      <w:pPr>
        <w:pStyle w:val="ListBullet"/>
      </w:pPr>
      <w:r>
        <w:rPr>
          <w:b/>
        </w:rPr>
        <w:t xml:space="preserve">Filtern von Platzhaltern: </w:t>
      </w:r>
      <w:r>
        <w:t>Zeilen, deren Erzeugung und Last gleich null sind, werden ausgeblendet, damit leere Länder die Sichten nicht verfälschen.</w:t>
      </w:r>
    </w:p>
    <w:p>
      <w:pPr>
        <w:pStyle w:val="ListBullet"/>
      </w:pPr>
      <w:r>
        <w:rPr>
          <w:b/>
        </w:rPr>
        <w:t xml:space="preserve">Aggregation zu 8 Bändern: </w:t>
      </w:r>
      <w:r>
        <w:t>Die ~18 Rohspalten werden zu acht fachlich sinnvollen Bändern zusammengefasst (Solar, Wind, Wasserkraft, Biomasse, Kernkraft, Kohle, Gas/Öl, Sonstige). Das reduziert die kognitive Last und erlaubt eine konsistente Farbpalette über alle drei Sichten.</w:t>
      </w:r>
    </w:p>
    <w:p>
      <w:pPr>
        <w:pStyle w:val="ListBullet"/>
      </w:pPr>
      <w:r>
        <w:rPr>
          <w:b/>
        </w:rPr>
        <w:t xml:space="preserve">Stündliches Binning (Heatmap): </w:t>
      </w:r>
      <w:r>
        <w:t>Je (Tag, Stunde) wird der Mittelwert der gewählten Metrik gebildet. Der Mittelwert fasst mehrere Viertelstundenwerte robust zu einem Stunden-Pixel zusammen und ist gegenüber Einzelausreißern stabiler als ein Momentanwert.</w:t>
      </w:r>
    </w:p>
    <w:p>
      <w:pPr>
        <w:pStyle w:val="ListBullet"/>
      </w:pPr>
      <w:r>
        <w:rPr>
          <w:b/>
        </w:rPr>
        <w:t xml:space="preserve">Summen je Band (Treemap): </w:t>
      </w:r>
      <w:r>
        <w:t>Über den Zeitraum wird je Band die Summe der Leistung gebildet; sie ist proportional zur erzeugten Energie und damit die aussagekräftige Größe für Anteile.</w:t>
      </w:r>
    </w:p>
    <w:p>
      <w:pPr>
        <w:pStyle w:val="ListBullet"/>
      </w:pPr>
      <w:r>
        <w:rPr>
          <w:b/>
        </w:rPr>
        <w:t xml:space="preserve">Metrik-Ableitung: </w:t>
      </w:r>
      <w:r>
        <w:t>Für die Heatmap werden Solar-Anteil bzw. Erneuerbaren-Anteil als Prozent der Gesamterzeugung berechnet; alternativ die Last in GW.</w:t>
      </w:r>
    </w:p>
    <w:p>
      <w:pPr>
        <w:pStyle w:val="Heading1"/>
      </w:pPr>
      <w:r>
        <w:t>3  Visualisierungen</w:t>
      </w:r>
    </w:p>
    <w:p>
      <w:r>
        <w:rPr>
          <w:i w:val="0"/>
        </w:rPr>
        <w:t>Dieses Kapitel analysiert zunächst die Anwendungsaufgaben und die dabei hilfreichen mentalen Modelle, leitet daraus Anforderungen an das Design ab und präsentiert anschließend die drei Visualisierungen mit ihren visuellen Kodierungen, Begründungen und Alternativen sowie die verbindende Interaktion.</w:t>
      </w:r>
    </w:p>
    <w:p>
      <w:pPr>
        <w:pStyle w:val="Heading2"/>
      </w:pPr>
      <w:r>
        <w:t>3.1  Analyse der Anwendungsaufgaben</w:t>
      </w:r>
    </w:p>
    <w:p>
      <w:r>
        <w:rPr>
          <w:i w:val="0"/>
        </w:rPr>
        <w:t>Aus den Fragestellungen ergeben sich konkrete Aufgaben, die die Zielgruppen lösen, und jeweils ein mentales Modell, dessen Aufbau die Visualisierung unterstützt:</w:t>
      </w:r>
    </w:p>
    <w:p>
      <w:pPr>
        <w:pStyle w:val="ListBullet"/>
      </w:pPr>
      <w:r>
        <w:rPr>
          <w:b/>
        </w:rPr>
        <w:t xml:space="preserve">Aufgabe zu F1: </w:t>
      </w:r>
      <w:r>
        <w:t>gleichzeitig die Zusammensetzung und die Summe der Erzeugung ablesen und mit der Last vergleichen. Hilfreiches mentales Modell: ein Schichtstapel, dessen Gesamthöhe der erzeugten Leistung entspricht und der unter einer „Bedarfslinie“ liegt – die Lücke zur Linie ist die Deckungslücke. Dieses Modell ist notwendig, um Deckung und Beitrag einzelner Quellen zusammen zu denken.</w:t>
      </w:r>
    </w:p>
    <w:p>
      <w:pPr>
        <w:pStyle w:val="ListBullet"/>
      </w:pPr>
      <w:r>
        <w:rPr>
          <w:b/>
        </w:rPr>
        <w:t xml:space="preserve">Aufgabe zu F2: </w:t>
      </w:r>
      <w:r>
        <w:t>wiederkehrende Muster über viele Zeitpunkte erkennen (Tagesgang, Wochen-/Saisondrift). Hilfreiches mentales Modell: ein Raster mit Tages- und Stundenachse, in dem sich Regelmäßigkeit als Textur/Band zeigt. Ohne die Auffaltung der Zeit in zwei periodische Achsen bleibt der Rhythmus in einem langen Verlauf verborgen.</w:t>
      </w:r>
    </w:p>
    <w:p>
      <w:pPr>
        <w:pStyle w:val="ListBullet"/>
      </w:pPr>
      <w:r>
        <w:rPr>
          <w:b/>
        </w:rPr>
        <w:t xml:space="preserve">Aufgabe zu F3: </w:t>
      </w:r>
      <w:r>
        <w:t>Teil-Ganzes-Verhältnisse und ihre Gruppierung erfassen. Hilfreiches mentales Modell: verschachtelte Flächen, in denen Größe für Anteil und Verschachtelung für die Hierarchie Quelle→Gruppe→Gesamt steht.</w:t>
      </w:r>
    </w:p>
    <w:p>
      <w:pPr>
        <w:pStyle w:val="Heading2"/>
      </w:pPr>
      <w:r>
        <w:t>3.2  Anforderungen an die Visualisierungen</w:t>
      </w:r>
    </w:p>
    <w:p>
      <w:r>
        <w:rPr>
          <w:i w:val="0"/>
        </w:rPr>
        <w:t>Aus der Aufgabenanalyse folgen diese Designanforderungen:</w:t>
      </w:r>
    </w:p>
    <w:p>
      <w:pPr>
        <w:pStyle w:val="ListBullet"/>
      </w:pPr>
      <w:r>
        <w:rPr>
          <w:b/>
        </w:rPr>
        <w:t xml:space="preserve">A1  </w:t>
      </w:r>
      <w:r>
        <w:t>Zusammensetzung und Summe der Erzeugung müssen gleichzeitig ablesbar sein.</w:t>
      </w:r>
    </w:p>
    <w:p>
      <w:pPr>
        <w:pStyle w:val="ListBullet"/>
      </w:pPr>
      <w:r>
        <w:rPr>
          <w:b/>
        </w:rPr>
        <w:t xml:space="preserve">A2  </w:t>
      </w:r>
      <w:r>
        <w:t>Die Deckung bzw. Unterdeckung der Last muss unmittelbar sichtbar sein.</w:t>
      </w:r>
    </w:p>
    <w:p>
      <w:pPr>
        <w:pStyle w:val="ListBullet"/>
      </w:pPr>
      <w:r>
        <w:rPr>
          <w:b/>
        </w:rPr>
        <w:t xml:space="preserve">A3  </w:t>
      </w:r>
      <w:r>
        <w:t>Periodische Muster müssen über viele Zeitpunkte kompakt erkennbar sein.</w:t>
      </w:r>
    </w:p>
    <w:p>
      <w:pPr>
        <w:pStyle w:val="ListBullet"/>
      </w:pPr>
      <w:r>
        <w:rPr>
          <w:b/>
        </w:rPr>
        <w:t xml:space="preserve">A4  </w:t>
      </w:r>
      <w:r>
        <w:t>Die betrachtete Metrik (Solar-/Erneuerbaren-Anteil, Last) muss umschaltbar sein.</w:t>
      </w:r>
    </w:p>
    <w:p>
      <w:pPr>
        <w:pStyle w:val="ListBullet"/>
      </w:pPr>
      <w:r>
        <w:rPr>
          <w:b/>
        </w:rPr>
        <w:t xml:space="preserve">A5  </w:t>
      </w:r>
      <w:r>
        <w:t>Teil-Ganzes-Anteile inkl. Gruppierung müssen flächen-/größengetreu dargestellt sein.</w:t>
      </w:r>
    </w:p>
    <w:p>
      <w:pPr>
        <w:pStyle w:val="ListBullet"/>
      </w:pPr>
      <w:r>
        <w:rPr>
          <w:b/>
        </w:rPr>
        <w:t xml:space="preserve">A6  </w:t>
      </w:r>
      <w:r>
        <w:t>Quellen müssen über alle Sichten hinweg konsistent kodiert sein (gleiche Farbe).</w:t>
      </w:r>
    </w:p>
    <w:p>
      <w:pPr>
        <w:pStyle w:val="ListBullet"/>
      </w:pPr>
      <w:r>
        <w:rPr>
          <w:b/>
        </w:rPr>
        <w:t xml:space="preserve">A7  </w:t>
      </w:r>
      <w:r>
        <w:t>Die Sichten müssen interaktiv verbunden sein (Interaktion in einer Sicht wirkt in den anderen).</w:t>
      </w:r>
    </w:p>
    <w:p>
      <w:pPr>
        <w:pStyle w:val="ListBullet"/>
      </w:pPr>
      <w:r>
        <w:rPr>
          <w:b/>
        </w:rPr>
        <w:t xml:space="preserve">A8  </w:t>
      </w:r>
      <w:r>
        <w:t>Quantitative Größen sollen möglichst über Position/Länge kodiert werden (Wahrnehmungsgenauigkeit).</w:t>
      </w:r>
    </w:p>
    <w:p>
      <w:pPr>
        <w:pStyle w:val="ListBullet"/>
      </w:pPr>
      <w:r>
        <w:rPr>
          <w:b/>
        </w:rPr>
        <w:t xml:space="preserve">A9  </w:t>
      </w:r>
      <w:r>
        <w:t>Das Layout muss responsiv und lesbar sein; keine abgeschnittenen oder unleserlichen Elemente.</w:t>
      </w:r>
    </w:p>
    <w:p>
      <w:pPr>
        <w:pStyle w:val="Heading2"/>
      </w:pPr>
      <w:r>
        <w:t>3.3  Präsentation der Visualisierungen</w:t>
      </w:r>
    </w:p>
    <w:p>
      <w:pPr>
        <w:jc w:val="center"/>
      </w:pPr>
      <w:r>
        <w:drawing>
          <wp:inline xmlns:a="http://schemas.openxmlformats.org/drawingml/2006/main" xmlns:pic="http://schemas.openxmlformats.org/drawingml/2006/picture">
            <wp:extent cx="5580000" cy="6103125"/>
            <wp:docPr id="1" name="Picture 1"/>
            <wp:cNvGraphicFramePr>
              <a:graphicFrameLocks noChangeAspect="1"/>
            </wp:cNvGraphicFramePr>
            <a:graphic>
              <a:graphicData uri="http://schemas.openxmlformats.org/drawingml/2006/picture">
                <pic:pic>
                  <pic:nvPicPr>
                    <pic:cNvPr id="0" name="charts-1280.png"/>
                    <pic:cNvPicPr/>
                  </pic:nvPicPr>
                  <pic:blipFill>
                    <a:blip r:embed="rId9"/>
                    <a:stretch>
                      <a:fillRect/>
                    </a:stretch>
                  </pic:blipFill>
                  <pic:spPr>
                    <a:xfrm>
                      <a:off x="0" y="0"/>
                      <a:ext cx="5580000" cy="6103125"/>
                    </a:xfrm>
                    <a:prstGeom prst="rect"/>
                  </pic:spPr>
                </pic:pic>
              </a:graphicData>
            </a:graphic>
          </wp:inline>
        </w:drawing>
      </w:r>
    </w:p>
    <w:p>
      <w:pPr>
        <w:jc w:val="center"/>
      </w:pPr>
      <w:r>
        <w:rPr>
          <w:i w:val="0"/>
          <w:color w:val="707070"/>
          <w:sz w:val="18"/>
        </w:rPr>
        <w:t>Abbildung 1: Gesamtansicht der Anwendung mit den drei verbundenen Sichten (gestapeltes Flächendiagramm, Stunde×Tag-Heatmap, Treemap). Die abgebildeten Werte dienen der Layout-Darstellung.</w:t>
      </w:r>
    </w:p>
    <w:p>
      <w:pPr>
        <w:pStyle w:val="Heading3"/>
      </w:pPr>
      <w:r>
        <w:t>3.3.1  Visualisierung Eins – Gestapeltes Flächendiagramm mit Last-Linie</w:t>
      </w:r>
    </w:p>
    <w:p>
      <w:r>
        <w:rPr>
          <w:i w:val="0"/>
        </w:rPr>
        <w:t>Kodierung: Die x-Achse trägt die Zeit (Position), die y-Achse die Leistung in GW (Position/Länge). Die acht Quellenbänder werden übereinander gestapelt und über Farbe (kategorial) unterschieden; die Last wird als gestrichelte Linie darüber gelegt. Damit sind A1, A2 und A6 erfüllt: Die Gesamthöhe des Stapels zeigt die Summe, die Schichtung die Zusammensetzung, und der Abstand der Stapeloberkante zur Last-Linie die Deckungslücke.</w:t>
      </w:r>
    </w:p>
    <w:p>
      <w:r>
        <w:rPr>
          <w:i w:val="0"/>
        </w:rPr>
        <w:t>Begründung (Wahrnehmung/Theorie): Position bzw. Länge ist die genaueste Kodierung für quantitative Daten (Cleveland &amp; McGill; Mackinlay). Die Stapelung nutzt diese Kodierung und zeigt Zusammensetzung und Summe simultan – anders als getrennte Diagramme. Die erneuerbaren Bänder werden bewusst oben, direkt unter der Last-Linie platziert, sodass die verbleibende Deckungslücke (Residuallast) unmittelbar ablesbar ist.</w:t>
      </w:r>
    </w:p>
    <w:p>
      <w:r>
        <w:rPr>
          <w:i w:val="0"/>
        </w:rPr>
        <w:t>Alternativen und Diskussion: (i) Mehrere überlagerte Liniendiagramme je Quelle zeigen Einzelverläufe präziser, machen aber Summe und Lastdeckung schlecht ablesbar und führen bei acht Quellen zu Linien-Wirrwarr. (ii) Ein 100%-gestapeltes Flächendiagramm zeigt Anteile, verliert jedoch den absoluten Bezug zur Last – und damit unsere Kernfrage A2 – und wird deshalb verworfen. (iii) Ein Streamgraph ist ästhetisch, erschwert durch die verschobene Basislinie aber das exakte Ablesen und den Vergleich mit der Last. Die verbleibende Schwäche gestapelter Flächen – obere Bänder haben keine gemeinsame Nulllinie und sind daher untereinander schwerer exakt zu vergleichen – wird durch die Heatmap und die Treemap kompensiert. Insgesamt bietet das gestapelte Flächendiagramm hier die beste Balance aus Expressivität (Summe + Zusammensetzung + Deckung) und Effektivität (Positionskodierung).</w:t>
      </w:r>
    </w:p>
    <w:p>
      <w:pPr>
        <w:pStyle w:val="Heading3"/>
      </w:pPr>
      <w:r>
        <w:t>3.3.2  Visualisierung Zwei – Stunde×Tag-Heatmap</w:t>
      </w:r>
    </w:p>
    <w:p>
      <w:r>
        <w:rPr>
          <w:i w:val="0"/>
        </w:rPr>
        <w:t>Kodierung: Die x-Achse trägt den Tag, die y-Achse die 24 Stunden; jede Zelle ist genau ein Stunden-Pixel, dessen Farbe den Metrikwert über eine sequentielle, luminanzgeordnete Skala codiert (Solar-Anteil: gelb→rot; Erneuerbaren-Anteil: gelb→grün; Last: inferno). Damit sind A3 und A4 erfüllt.</w:t>
      </w:r>
    </w:p>
    <w:p>
      <w:r>
        <w:rPr>
          <w:i w:val="0"/>
        </w:rPr>
        <w:t>Begründung (Wahrnehmung/Theorie): Für dichte, periodische Zeitdaten sind pixel-orientierte Techniken das Mittel der Wahl. Das Auffalten der Zeit in zwei periodische Achsen macht den Tagesgang zu einem horizontalen Band und die Saisondrift zu einer allmählichen Verschiebung – beides preattentiv über Helligkeit wahrnehmbar. Dass Farbe für das exakte Ablesen einzelner Werte weniger präzise ist als Position, ist hier unkritisch, weil es um Muster- und Dichteerkennung geht; exakte Werte liefert der Tooltip.</w:t>
      </w:r>
    </w:p>
    <w:p>
      <w:r>
        <w:rPr>
          <w:i w:val="0"/>
        </w:rPr>
        <w:t>Alternativen und Diskussion: (i) Ein einzelnes Liniendiagramm über die Zeit überlagert die Tageszyklen und wird bei 168+ Punkten unübersichtlich. (ii) Ein Cycle-Plot bzw. das Überlagern der Tagesgänge zeigt den mittleren Tagesverlauf gut, verliert aber die Saisondrift und den einzelnen auffälligen Tag. (iii) Eine Kalender-Heatmap mit einer Zelle pro Tag verliert genau die Stundenauflösung, die unseren Tagesrhythmus ausmacht. Das Stunde×Tag-Raster ist daher die passende Wahl; es ist ausdrucksstark (jeder Stundenwert ist repräsentiert) und effektiv für die gestellte Musteraufgabe.</w:t>
      </w:r>
    </w:p>
    <w:p>
      <w:pPr>
        <w:pStyle w:val="Heading3"/>
      </w:pPr>
      <w:r>
        <w:t>3.3.3  Visualisierung Drei – Treemap der Erzeugungsstruktur</w:t>
      </w:r>
    </w:p>
    <w:p>
      <w:r>
        <w:rPr>
          <w:i w:val="0"/>
        </w:rPr>
        <w:t>Kodierung: Die Fläche jedes Rechtecks ist proportional zur erzeugten Energie (Summe der Leistung im Zeitraum); die Verschachtelung bildet die Hierarchie Wurzel→{Erneuerbar, Konventionell}→Quellen ab; die Farbe entspricht wieder der Quelle. Das Layout nutzt den Squarify-Algorithmus, der möglichst quadratische Kacheln erzeugt. Damit sind A5 und A6 erfüllt.</w:t>
      </w:r>
    </w:p>
    <w:p>
      <w:r>
        <w:rPr>
          <w:i w:val="0"/>
        </w:rPr>
        <w:t>Begründung (Wahrnehmung/Theorie): Fläche eignet sich für Teil-Ganzes-Aussagen und erlaubt eine kompakte, platzsparende Darstellung der gesamten Struktur neben den beiden anderen Sichten. Squarified Treemaps verbessern die Vergleichbarkeit gegenüber schmalen Kacheln, weil ähnliche Seitenverhältnisse die Flächenschätzung erleichtern. Quellen einer Gruppe liegen räumlich beieinander (Gestaltprinzip der Nähe).</w:t>
      </w:r>
    </w:p>
    <w:p>
      <w:r>
        <w:rPr>
          <w:i w:val="0"/>
        </w:rPr>
        <w:t>Alternativen und Diskussion: (i) Ein Tortendiagramm zeigt nur eine Ebene und wird bei acht Segmenten unübersichtlich; Winkel-/Flächenschätzung ist ungenau. (ii) Ein gruppiertes Balkendiagramm nach Anteil wäre eine echte Alternative und für den exakten Vergleich sogar effektiver, da es Länge statt Fläche nutzt (A8). Wir wählen dennoch die Treemap, weil sie Teil-Ganzes und Hierarchie kompakt und „auf einen Blick“ neben den anderen Sichten zeigt und den geforderten Bereich „Bäume“ abdeckt; die geringere Ablesegenauigkeit gleichen wir durch Prozent-Labels und Tooltips aus. (iii) Ein Sunburst bildet die Hierarchie radial ab, erschwert aber den Flächenvergleich. Die Treemap ist damit die für dieses Nebeneinander ausdrucksstärkste und hinreichend effektive Wahl.</w:t>
      </w:r>
    </w:p>
    <w:p>
      <w:pPr>
        <w:pStyle w:val="Heading2"/>
      </w:pPr>
      <w:r>
        <w:t>3.4  Interaktion</w:t>
      </w:r>
    </w:p>
    <w:p>
      <w:r>
        <w:rPr>
          <w:i w:val="0"/>
        </w:rPr>
        <w:t>Die drei Techniken sind zu einer Anwendung mit koordinierten Sichten verknüpft; eine Interaktion in einer Sicht verändert die anderen (A7):</w:t>
      </w:r>
    </w:p>
    <w:p>
      <w:pPr>
        <w:pStyle w:val="ListBullet"/>
      </w:pPr>
      <w:r>
        <w:rPr>
          <w:b/>
        </w:rPr>
        <w:t xml:space="preserve">Verbundenes Hervorheben (Linked Highlighting): </w:t>
      </w:r>
      <w:r>
        <w:t>Wird eine Quelle in der Legende, im Flächendiagramm oder in der Treemap überfahren, wird dieselbe Quelle in allen Sichten hervorgehoben und die übrigen abgeschwächt (gemeinsamer Zustand „hovered“). Zweck: eine Quelle über die Sichten hinweg verfolgen, z. B. den Solarbeitrag im Stapel und zugleich seinen Anteil in der Treemap.</w:t>
      </w:r>
    </w:p>
    <w:p>
      <w:pPr>
        <w:pStyle w:val="ListBullet"/>
      </w:pPr>
      <w:r>
        <w:rPr>
          <w:b/>
        </w:rPr>
        <w:t xml:space="preserve">Verbundenes Filtern (Klick auf einen Tag): </w:t>
      </w:r>
      <w:r>
        <w:t>Ein Klick auf eine Spalte der Heatmap setzt einen Tagesfokus (Zustand „focusedDay“): Das Flächendiagramm markiert diesen Tag, die Treemap zeigt nur die Struktur dieses Tages. Ein erneuter Klick hebt den Fokus auf. Zweck: der Übergang von „wann ist etwas auffällig?“ (Heatmap) zu „wie sieht Mix und Struktur an diesem Tag aus?“ (Flächendiagramm/Treemap).</w:t>
      </w:r>
    </w:p>
    <w:p>
      <w:pPr>
        <w:pStyle w:val="ListBullet"/>
      </w:pPr>
      <w:r>
        <w:rPr>
          <w:b/>
        </w:rPr>
        <w:t xml:space="preserve">Koordinierte Steuerung: </w:t>
      </w:r>
      <w:r>
        <w:t>Land, Zeitfenster (7/14/30 Tage) und Heatmap-Metrik werden global gewählt; eine einzige Abfrage aktualisiert alle drei Sichten konsistent.</w:t>
      </w:r>
    </w:p>
    <w:p>
      <w:r>
        <w:rPr>
          <w:i w:val="0"/>
        </w:rPr>
        <w:t>Begründung: Koordinierte Ansichten unterstützen den Aufbau eines integrierten mentalen Modells (Overview + Detail); die konkrete Kopplung folgt dem natürlichen Analyseweg der Zielgruppe. Bewusst nicht umgesetzt wurden: (a) Zoom/Pan im Zeitdiagramm – die Zeitfenster-Umschaltung deckt den Bedarf ab, ein zusätzlicher Zoom-Zustand brächte Komplexität ohne klaren Mehrwert; (b) ein Bürsten über Stundenbereiche in der Heatmap – die Tagesgranularität genügt für die Fragestellung und hält die Treemap-Aggregation einfach; (c) aufwändige Detail-Overlays. Die von der Aufgabenstellung geforderte verbundene Interaktion ist über Hover- und Klick-Kopplung erfüllt.</w:t>
      </w:r>
    </w:p>
    <w:p>
      <w:pPr>
        <w:pStyle w:val="Heading1"/>
      </w:pPr>
      <w:r>
        <w:t>4  Implementierung</w:t>
      </w:r>
    </w:p>
    <w:p>
      <w:r>
        <w:rPr>
          <w:i w:val="0"/>
        </w:rPr>
        <w:t>Die Anwendung ist in Elm nach der Elm-Architektur (Model–Update–View) umgesetzt und in mehrere Module gegliedert:</w:t>
      </w:r>
    </w:p>
    <w:p>
      <w:pPr>
        <w:pStyle w:val="ListBullet"/>
      </w:pPr>
      <w:r>
        <w:rPr>
          <w:b/>
        </w:rPr>
        <w:t xml:space="preserve">Main.elm </w:t>
      </w:r>
      <w:r>
        <w:t>– Steuerung: Model, Update, Laden/Pagination, Zustand der verbundenen Sichten, View und Layout.</w:t>
      </w:r>
    </w:p>
    <w:p>
      <w:pPr>
        <w:pStyle w:val="ListBullet"/>
      </w:pPr>
      <w:r>
        <w:rPr>
          <w:b/>
        </w:rPr>
        <w:t xml:space="preserve">Api.elm </w:t>
      </w:r>
      <w:r>
        <w:t>– Token-Beschaffung, schnelles id-Block-Laden und ein null-toleranter Decoder.</w:t>
      </w:r>
    </w:p>
    <w:p>
      <w:pPr>
        <w:pStyle w:val="ListBullet"/>
      </w:pPr>
      <w:r>
        <w:rPr>
          <w:b/>
        </w:rPr>
        <w:t xml:space="preserve">Energy.elm </w:t>
      </w:r>
      <w:r>
        <w:t>– Domäne: Bänder und Palette, Metriken, stündliches Binning, Treemap-Summen (die gesamte Datenvorverarbeitung).</w:t>
      </w:r>
    </w:p>
    <w:p>
      <w:pPr>
        <w:pStyle w:val="ListBullet"/>
      </w:pPr>
      <w:r>
        <w:rPr>
          <w:b/>
        </w:rPr>
        <w:t xml:space="preserve">Chart/StackedArea.elm, Chart/Heatmap.elm, Chart/Treemap.elm </w:t>
      </w:r>
      <w:r>
        <w:t>– je eine reine Sicht, die eine Konfiguration entgegennimmt und SVG erzeugt.</w:t>
      </w:r>
    </w:p>
    <w:p>
      <w:r>
        <w:rPr>
          <w:i w:val="0"/>
        </w:rPr>
        <w:t>Die zentrale Datenstruktur ist das Model. Es hält neben der Auswahl (country, windowDays, metric) und den geladenen Zeilen (rows) vor allem die Interaktionszustände hovered (Maybe String) und focusedDay (Maybe Int), über die die Sichten verbunden sind, sowie einen Ladezustand status als Summentyp (NeedConnect, Connecting, LoadingBounds, LoadingRows, Ready, Failed), der die Ladephasen typsicher abbildet. Für das schnelle Laden werden zusätzlich der größte Zeitstempel (latest) und je Land die id-Obergrenzen (ceilings : Dict String Int) gespeichert.</w:t>
      </w:r>
    </w:p>
    <w:p>
      <w:r>
        <w:rPr>
          <w:i w:val="0"/>
        </w:rPr>
        <w:t>Aufwand: Vieles ließ sich mit dem Code aus den Übungen relativ einfach umsetzen – Scale/Axis, Shape.stack und Shape.area mit Path, Hierarchy.treemap mit Squarify sowie Scale.Color für die sequentiellen Skalen (Übungen 5–10). Aufwändiger waren: (a) das schnelle Laden gegen die API-Eigenheiten, das erst durch eigenes Messen und den id-Block-Trick praktikabel wurde; (b) der null-tolerante Decoder, da viele Länder Platzhalter/nulls enthalten; (c) das saubere Verbinden des Zustands über drei Sichten; sowie (d) ein responsives, überschneidungsfreies Layout, das über skalierende SVG-viewBoxes und ein klassenbasiertes CSS-Designsystem sicherstellt, dass keine Elemente abgeschnitten oder unleserlich sind.</w:t>
      </w:r>
    </w:p>
    <w:p>
      <w:pPr>
        <w:pStyle w:val="Heading1"/>
      </w:pPr>
      <w:r>
        <w:t>5  Anwendungsfälle</w:t>
      </w:r>
    </w:p>
    <w:p>
      <w:pPr>
        <w:pStyle w:val="Heading3"/>
      </w:pPr>
      <w:r>
        <w:t>5.1  Anwendung Visualisierung Eins</w:t>
      </w:r>
    </w:p>
    <w:p>
      <w:r>
        <w:rPr>
          <w:i w:val="0"/>
        </w:rPr>
        <w:t>Fakt/Muster: Im gestapelten Flächendiagramm ist erkennbar, dass die erneuerbaren Bänder nachts stark schrumpfen (Solar = 0) und die Last dann fast vollständig von konventionellen Bändern getragen wird, während an sonnigen Mittagsstunden die erneuerbare Oberkante nahe an die Last-Linie heranreicht. Sichtbar wird damit die tageszeitliche Deckungslücke (Residuallast). Für die Zielgruppe ist dies zentral, weil es die Kernfrage der Versorgungssicherheit unmittelbar beantwortet. Dieselbe Information ließe sich prinzipiell aus einem Liniendiagramm von Last und Gesamterzeugung gewinnen, doch bliebe die Zusammensetzung – welcher Anteil wodurch gedeckt wird – verborgen; das Flächendiagramm liefert Deckung und Zusammensetzung ohne Mehraufwand in einer Sicht.</w:t>
      </w:r>
    </w:p>
    <w:p>
      <w:pPr>
        <w:pStyle w:val="Heading3"/>
      </w:pPr>
      <w:r>
        <w:t>5.2  Anwendung Visualisierung Zwei</w:t>
      </w:r>
    </w:p>
    <w:p>
      <w:r>
        <w:rPr>
          <w:i w:val="0"/>
        </w:rPr>
        <w:t>Muster/Abwesenheit eines Musters: In der Heatmap zeigt sich über nahezu alle Tage ein helles horizontales Band um die Mittagsstunden (Solar-Maximum), während die Nachtstunden durchgehend dunkel bleiben; über mehrere Wochen wandert und weitet sich dieses Band (Saisondrift). Fehlt das Band an einzelnen Tagen (Spalte bleibt dunkel), deutet dies auf trübe Tage mit geringer PV-Erzeugung hin. Für die Zielgruppe ist das relevant, um Planbarkeit und Speicherbedarf der Photovoltaik einzuschätzen. Mit überlagerten Liniendiagrammen wäre dieses Muster bei 7–30 Tagen kaum lesbar, und eine tagesbasierte Kalender-Heatmap verlöre die entscheidende Stundenauflösung – die Stunde×Tag-Heatmap findet das Muster mit geringerem Aufwand.</w:t>
      </w:r>
    </w:p>
    <w:p>
      <w:pPr>
        <w:pStyle w:val="Heading3"/>
      </w:pPr>
      <w:r>
        <w:t>5.3  Anwendung Visualisierung Drei</w:t>
      </w:r>
    </w:p>
    <w:p>
      <w:r>
        <w:rPr>
          <w:i w:val="0"/>
        </w:rPr>
        <w:t>Fakt: In der Treemap dominiert für Frankreich die Kernkraft mit einem großen Anteil (Gruppe „Konventionell“ füllt den größeren Teil der Fläche), während für Länder mit hohem Wind-/Wasseranteil die Gruppe „Erneuerbar“ überwiegt; fokussiert man einen sonnigen Tag, wächst die Solar-Kachel sichtbar. Das Verhältnis von Erneuerbar zu Konventionell ist damit auf einen Blick erfassbar und für den Ländervergleich sowie die Einordnung des Dekarbonisierungsgrades wichtig. Ein Balkendiagramm könnte die Anteile exakter vergleichbar machen, ist aber weniger kompakt und bildet die Gruppierung Erneuerbar/Konventionell weniger unmittelbar ab; ein Tortendiagramm würde bei acht Quellen unübersichtlich. Die Treemap liefert die Struktur mit geringem Interpretationsaufwand neben den anderen Sichten.</w:t>
      </w:r>
    </w:p>
    <w:p>
      <w:pPr>
        <w:pStyle w:val="Heading1"/>
      </w:pPr>
      <w:r>
        <w:t>6  Verwandte Arbeiten</w:t>
      </w:r>
    </w:p>
    <w:p>
      <w:r>
        <w:rPr>
          <w:i w:val="0"/>
        </w:rPr>
        <w:t>Van Wijk und van Selow [2] stellen eine cluster- und kalenderbasierte Visualisierung von Zeitreihen vor und wenden sie u. a. auf Stromverbrauchsdaten an. Gemeinsam mit unserer Heatmap ist die Grundidee, periodische Muster über ein zweidimensionales Zeit-Layout und Farbe sichtbar zu machen. Ein Unterschied besteht darin, dass sie tägliche Verlaufsmuster clustern und über einen Jahreskalender anordnen, während wir die volle Stunden×Tag-Auflösung beibehalten und die Sicht interaktiv mit zwei weiteren Sichten koppeln.</w:t>
      </w:r>
    </w:p>
    <w:p>
      <w:r>
        <w:rPr>
          <w:i w:val="0"/>
        </w:rPr>
        <w:t>Byron und Wattenberg [3] untersuchen Geometrie und Ästhetik gestapelter Diagramme (Stacked Graphs/Streamgraphs). Gemeinsam ist die gestapelte Darstellung einer Zusammensetzung über die Zeit. Wir verzichten jedoch bewusst auf die verschobene Streamgraph-Basislinie zugunsten einer festen Nulllinie und einer überlagerten Last-Linie, weil im Anwendungskontext das exakte Ablesen der Lastdeckung (Analyse) Vorrang vor der Ästhetik hat.</w:t>
      </w:r>
    </w:p>
    <w:p>
      <w:r>
        <w:rPr>
          <w:i w:val="0"/>
        </w:rPr>
        <w:t>Die Treemap selbst geht auf Shneiderman [4] zurück; das von uns verwendete Squarify-Layout verbessert die Seitenverhältnisse und damit die Vergleichbarkeit der Kacheln. Methodisch orientiert sich der Bericht an Munzners [1] Rahmen für Design Studies. Gegenüber generischen Energie-Dashboards, die häufig nur gestapelte Zeitreihen zeigen, ist der Beitrag unserer Arbeit die anwendungsgetriebene Kombination dreier komplementärer Techniken mit verbundener Interaktion.</w:t>
      </w:r>
    </w:p>
    <w:p>
      <w:pPr>
        <w:pStyle w:val="Heading1"/>
      </w:pPr>
      <w:r>
        <w:t>7  Zusammenfassung und Ausblick</w:t>
      </w:r>
    </w:p>
    <w:p>
      <w:r>
        <w:rPr>
          <w:i w:val="0"/>
        </w:rPr>
        <w:t>Die vorgestellte Anwendung beantwortet drei aus dem Zielproblem abgeleitete Fragen mit drei komplementären Techniken aus drei Bereichen – einem gestapelten Flächendiagramm für Zusammensetzung und Lastdeckung, einer Stunde×Tag-Heatmap für tägliche und saisonale Rhythmen und einer Treemap für die Energieanteile – und verbindet sie zu koordinierten Sichten. Der Mehrwert für die Zielgruppe liegt darin, dass sich ein Stromsystem so schnell und aus einer einzigen Abfrage in Verlauf, Rhythmus und Struktur zugleich erfassen lässt, wobei jede Erkenntnis über die verbundene Interaktion in den anderen Sichten vertieft werden kann.</w:t>
      </w:r>
    </w:p>
    <w:p>
      <w:r>
        <w:rPr>
          <w:i w:val="0"/>
        </w:rPr>
        <w:t>Sinnvolle Erweiterungen auf Visualisierungsebene sind eine explizite Residuallast- bzw. Defizitkodierung im Flächendiagramm, ein Ländervergleich als Small Multiples sowie eine kalenderbasierte Aggregation für lange Zeiträume. Auf Datenebene bieten sich die Ergänzung um Preise, Wetter-/Einstrahlungsdaten, Speicherfüllstände und CO2-Intensität an sowie die Nutzung der vollständigen Datenbank (inkl. befülltem Deutschland) und längerer Historien für belastbare Saisonanalysen.</w:t>
      </w:r>
    </w:p>
    <w:p>
      <w:r>
        <w:br w:type="page"/>
      </w:r>
    </w:p>
    <w:p>
      <w:pPr>
        <w:pStyle w:val="Heading1"/>
      </w:pPr>
      <w:r>
        <w:t>Anhang: Git-Historie</w:t>
      </w:r>
    </w:p>
    <w:p>
      <w:r>
        <w:rPr>
          <w:i w:val="0"/>
        </w:rPr>
        <w:t>Auszug der Versionshistorie des Projekt-Repositories (Datum · Commit · Beschreibung), neueste zuerst: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Datum</w:t>
            </w:r>
          </w:p>
        </w:tc>
        <w:tc>
          <w:tcPr>
            <w:tcW w:type="dxa" w:w="2880"/>
          </w:tcPr>
          <w:p>
            <w:r>
              <w:rPr>
                <w:b/>
              </w:rPr>
              <w:t>Commit</w:t>
            </w:r>
          </w:p>
        </w:tc>
        <w:tc>
          <w:tcPr>
            <w:tcW w:type="dxa" w:w="2880"/>
          </w:tcPr>
          <w:p>
            <w:r>
              <w:rPr>
                <w:b/>
              </w:rPr>
              <w:t>Beschreibung</w:t>
            </w:r>
          </w:p>
        </w:tc>
      </w:tr>
      <w:tr>
        <w:tc>
          <w:tcPr>
            <w:tcW w:type="dxa" w:w="2880"/>
          </w:tcPr>
          <w:p>
            <w:r>
              <w:t>2026-07-02</w:t>
            </w:r>
          </w:p>
        </w:tc>
        <w:tc>
          <w:tcPr>
            <w:tcW w:type="dxa" w:w="2880"/>
          </w:tcPr>
          <w:p>
            <w:r>
              <w:t>88099cb</w:t>
            </w:r>
          </w:p>
        </w:tc>
        <w:tc>
          <w:tcPr>
            <w:tcW w:type="dxa" w:w="2880"/>
          </w:tcPr>
          <w:p>
            <w:r>
              <w:t>Update (Redesign UI, Bericht)</w:t>
            </w:r>
          </w:p>
        </w:tc>
      </w:tr>
      <w:tr>
        <w:tc>
          <w:tcPr>
            <w:tcW w:type="dxa" w:w="2880"/>
          </w:tcPr>
          <w:p>
            <w:r>
              <w:t>2026-07-02</w:t>
            </w:r>
          </w:p>
        </w:tc>
        <w:tc>
          <w:tcPr>
            <w:tcW w:type="dxa" w:w="2880"/>
          </w:tcPr>
          <w:p>
            <w:r>
              <w:t>6dff724</w:t>
            </w:r>
          </w:p>
        </w:tc>
        <w:tc>
          <w:tcPr>
            <w:tcW w:type="dxa" w:w="2880"/>
          </w:tcPr>
          <w:p>
            <w:r>
              <w:t>Update</w:t>
            </w:r>
          </w:p>
        </w:tc>
      </w:tr>
      <w:tr>
        <w:tc>
          <w:tcPr>
            <w:tcW w:type="dxa" w:w="2880"/>
          </w:tcPr>
          <w:p>
            <w:r>
              <w:t>2026-06-30</w:t>
            </w:r>
          </w:p>
        </w:tc>
        <w:tc>
          <w:tcPr>
            <w:tcW w:type="dxa" w:w="2880"/>
          </w:tcPr>
          <w:p>
            <w:r>
              <w:t>6cf5943</w:t>
            </w:r>
          </w:p>
        </w:tc>
        <w:tc>
          <w:tcPr>
            <w:tcW w:type="dxa" w:w="2880"/>
          </w:tcPr>
          <w:p>
            <w:r>
              <w:t>Update</w:t>
            </w:r>
          </w:p>
        </w:tc>
      </w:tr>
      <w:tr>
        <w:tc>
          <w:tcPr>
            <w:tcW w:type="dxa" w:w="2880"/>
          </w:tcPr>
          <w:p>
            <w:r>
              <w:t>2026-06-30</w:t>
            </w:r>
          </w:p>
        </w:tc>
        <w:tc>
          <w:tcPr>
            <w:tcW w:type="dxa" w:w="2880"/>
          </w:tcPr>
          <w:p>
            <w:r>
              <w:t>1878f5b</w:t>
            </w:r>
          </w:p>
        </w:tc>
        <w:tc>
          <w:tcPr>
            <w:tcW w:type="dxa" w:w="2880"/>
          </w:tcPr>
          <w:p>
            <w:r>
              <w:t>Update</w:t>
            </w:r>
          </w:p>
        </w:tc>
      </w:tr>
      <w:tr>
        <w:tc>
          <w:tcPr>
            <w:tcW w:type="dxa" w:w="2880"/>
          </w:tcPr>
          <w:p>
            <w:r>
              <w:t>2026-06-15</w:t>
            </w:r>
          </w:p>
        </w:tc>
        <w:tc>
          <w:tcPr>
            <w:tcW w:type="dxa" w:w="2880"/>
          </w:tcPr>
          <w:p>
            <w:r>
              <w:t>6ff05a3</w:t>
            </w:r>
          </w:p>
        </w:tc>
        <w:tc>
          <w:tcPr>
            <w:tcW w:type="dxa" w:w="2880"/>
          </w:tcPr>
          <w:p>
            <w:r>
              <w:t>Update</w:t>
            </w:r>
          </w:p>
        </w:tc>
      </w:tr>
      <w:tr>
        <w:tc>
          <w:tcPr>
            <w:tcW w:type="dxa" w:w="2880"/>
          </w:tcPr>
          <w:p>
            <w:r>
              <w:t>2026-05-31</w:t>
            </w:r>
          </w:p>
        </w:tc>
        <w:tc>
          <w:tcPr>
            <w:tcW w:type="dxa" w:w="2880"/>
          </w:tcPr>
          <w:p>
            <w:r>
              <w:t>7c9861b</w:t>
            </w:r>
          </w:p>
        </w:tc>
        <w:tc>
          <w:tcPr>
            <w:tcW w:type="dxa" w:w="2880"/>
          </w:tcPr>
          <w:p>
            <w:r>
              <w:t>Update</w:t>
            </w:r>
          </w:p>
        </w:tc>
      </w:tr>
      <w:tr>
        <w:tc>
          <w:tcPr>
            <w:tcW w:type="dxa" w:w="2880"/>
          </w:tcPr>
          <w:p>
            <w:r>
              <w:t>2026-05-30</w:t>
            </w:r>
          </w:p>
        </w:tc>
        <w:tc>
          <w:tcPr>
            <w:tcW w:type="dxa" w:w="2880"/>
          </w:tcPr>
          <w:p>
            <w:r>
              <w:t>7330e0f</w:t>
            </w:r>
          </w:p>
        </w:tc>
        <w:tc>
          <w:tcPr>
            <w:tcW w:type="dxa" w:w="2880"/>
          </w:tcPr>
          <w:p>
            <w:r>
              <w:t>Update</w:t>
            </w:r>
          </w:p>
        </w:tc>
      </w:tr>
      <w:tr>
        <w:tc>
          <w:tcPr>
            <w:tcW w:type="dxa" w:w="2880"/>
          </w:tcPr>
          <w:p>
            <w:r>
              <w:t>2026-05-29</w:t>
            </w:r>
          </w:p>
        </w:tc>
        <w:tc>
          <w:tcPr>
            <w:tcW w:type="dxa" w:w="2880"/>
          </w:tcPr>
          <w:p>
            <w:r>
              <w:t>bea36b5</w:t>
            </w:r>
          </w:p>
        </w:tc>
        <w:tc>
          <w:tcPr>
            <w:tcW w:type="dxa" w:w="2880"/>
          </w:tcPr>
          <w:p>
            <w:r>
              <w:t>Update</w:t>
            </w:r>
          </w:p>
        </w:tc>
      </w:tr>
      <w:tr>
        <w:tc>
          <w:tcPr>
            <w:tcW w:type="dxa" w:w="2880"/>
          </w:tcPr>
          <w:p>
            <w:r>
              <w:t>2026-05-21</w:t>
            </w:r>
          </w:p>
        </w:tc>
        <w:tc>
          <w:tcPr>
            <w:tcW w:type="dxa" w:w="2880"/>
          </w:tcPr>
          <w:p>
            <w:r>
              <w:t>1e5925b</w:t>
            </w:r>
          </w:p>
        </w:tc>
        <w:tc>
          <w:tcPr>
            <w:tcW w:type="dxa" w:w="2880"/>
          </w:tcPr>
          <w:p>
            <w:r>
              <w:t>Update</w:t>
            </w:r>
          </w:p>
        </w:tc>
      </w:tr>
      <w:tr>
        <w:tc>
          <w:tcPr>
            <w:tcW w:type="dxa" w:w="2880"/>
          </w:tcPr>
          <w:p>
            <w:r>
              <w:t>2026-05-17</w:t>
            </w:r>
          </w:p>
        </w:tc>
        <w:tc>
          <w:tcPr>
            <w:tcW w:type="dxa" w:w="2880"/>
          </w:tcPr>
          <w:p>
            <w:r>
              <w:t>478a3dc</w:t>
            </w:r>
          </w:p>
        </w:tc>
        <w:tc>
          <w:tcPr>
            <w:tcW w:type="dxa" w:w="2880"/>
          </w:tcPr>
          <w:p>
            <w:r>
              <w:t>Übung 8</w:t>
            </w:r>
          </w:p>
        </w:tc>
      </w:tr>
      <w:tr>
        <w:tc>
          <w:tcPr>
            <w:tcW w:type="dxa" w:w="2880"/>
          </w:tcPr>
          <w:p>
            <w:r>
              <w:t>2026-05-16</w:t>
            </w:r>
          </w:p>
        </w:tc>
        <w:tc>
          <w:tcPr>
            <w:tcW w:type="dxa" w:w="2880"/>
          </w:tcPr>
          <w:p>
            <w:r>
              <w:t>fb1caff</w:t>
            </w:r>
          </w:p>
        </w:tc>
        <w:tc>
          <w:tcPr>
            <w:tcW w:type="dxa" w:w="2880"/>
          </w:tcPr>
          <w:p>
            <w:r>
              <w:t>Uebung7</w:t>
            </w:r>
          </w:p>
        </w:tc>
      </w:tr>
      <w:tr>
        <w:tc>
          <w:tcPr>
            <w:tcW w:type="dxa" w:w="2880"/>
          </w:tcPr>
          <w:p>
            <w:r>
              <w:t>2026-05-04</w:t>
            </w:r>
          </w:p>
        </w:tc>
        <w:tc>
          <w:tcPr>
            <w:tcW w:type="dxa" w:w="2880"/>
          </w:tcPr>
          <w:p>
            <w:r>
              <w:t>1a26ef2</w:t>
            </w:r>
          </w:p>
        </w:tc>
        <w:tc>
          <w:tcPr>
            <w:tcW w:type="dxa" w:w="2880"/>
          </w:tcPr>
          <w:p>
            <w:r>
              <w:t>Uebung4 Abgabe</w:t>
            </w:r>
          </w:p>
        </w:tc>
      </w:tr>
      <w:tr>
        <w:tc>
          <w:tcPr>
            <w:tcW w:type="dxa" w:w="2880"/>
          </w:tcPr>
          <w:p>
            <w:r>
              <w:t>2026-05-03</w:t>
            </w:r>
          </w:p>
        </w:tc>
        <w:tc>
          <w:tcPr>
            <w:tcW w:type="dxa" w:w="2880"/>
          </w:tcPr>
          <w:p>
            <w:r>
              <w:t>ed9db22</w:t>
            </w:r>
          </w:p>
        </w:tc>
        <w:tc>
          <w:tcPr>
            <w:tcW w:type="dxa" w:w="2880"/>
          </w:tcPr>
          <w:p>
            <w:r>
              <w:t>Uebung4 Aufgabe 1</w:t>
            </w:r>
          </w:p>
        </w:tc>
      </w:tr>
      <w:tr>
        <w:tc>
          <w:tcPr>
            <w:tcW w:type="dxa" w:w="2880"/>
          </w:tcPr>
          <w:p>
            <w:r>
              <w:t>2026-04-27</w:t>
            </w:r>
          </w:p>
        </w:tc>
        <w:tc>
          <w:tcPr>
            <w:tcW w:type="dxa" w:w="2880"/>
          </w:tcPr>
          <w:p>
            <w:r>
              <w:t>84a5079</w:t>
            </w:r>
          </w:p>
        </w:tc>
        <w:tc>
          <w:tcPr>
            <w:tcW w:type="dxa" w:w="2880"/>
          </w:tcPr>
          <w:p>
            <w:r>
              <w:t>uebung2.pdf</w:t>
            </w:r>
          </w:p>
        </w:tc>
      </w:tr>
      <w:tr>
        <w:tc>
          <w:tcPr>
            <w:tcW w:type="dxa" w:w="2880"/>
          </w:tcPr>
          <w:p>
            <w:r>
              <w:t>2026-04-24</w:t>
            </w:r>
          </w:p>
        </w:tc>
        <w:tc>
          <w:tcPr>
            <w:tcW w:type="dxa" w:w="2880"/>
          </w:tcPr>
          <w:p>
            <w:r>
              <w:t>6b95607</w:t>
            </w:r>
          </w:p>
        </w:tc>
        <w:tc>
          <w:tcPr>
            <w:tcW w:type="dxa" w:w="2880"/>
          </w:tcPr>
          <w:p>
            <w:r>
              <w:t>Uebung2 Aufgabe 1 &amp; 2</w:t>
            </w:r>
          </w:p>
        </w:tc>
      </w:tr>
      <w:tr>
        <w:tc>
          <w:tcPr>
            <w:tcW w:type="dxa" w:w="2880"/>
          </w:tcPr>
          <w:p>
            <w:r>
              <w:t>2026-04-13</w:t>
            </w:r>
          </w:p>
        </w:tc>
        <w:tc>
          <w:tcPr>
            <w:tcW w:type="dxa" w:w="2880"/>
          </w:tcPr>
          <w:p>
            <w:r>
              <w:t>44b5969</w:t>
            </w:r>
          </w:p>
        </w:tc>
        <w:tc>
          <w:tcPr>
            <w:tcW w:type="dxa" w:w="2880"/>
          </w:tcPr>
          <w:p>
            <w:r>
              <w:t>init</w:t>
            </w:r>
          </w:p>
        </w:tc>
      </w:tr>
    </w:tbl>
    <w:p>
      <w:r>
        <w:rPr>
          <w:i w:val="0"/>
          <w:color w:val="707070"/>
          <w:sz w:val="18"/>
        </w:rPr>
        <w:t>Vollständige Historie (40 Commits) im Repository via „git log“. Die frühen Commits umfassen die Übungen 1–10, die späteren die Projektentwicklung.</w:t>
      </w:r>
    </w:p>
    <w:p>
      <w:pPr>
        <w:pStyle w:val="Heading1"/>
      </w:pPr>
      <w:r>
        <w:t>Literatur</w:t>
      </w:r>
    </w:p>
    <w:p>
      <w:pPr>
        <w:spacing w:after="120"/>
        <w:ind w:left="454" w:hanging="454"/>
      </w:pPr>
      <w:r>
        <w:t>[1] Tamara Munzner. „Process and Pitfalls in Writing Information Visualization Research Papers“. In: Information Visualization: Human-Centered Issues and Perspectives. Hrsg. von Andreas Kerren u. a. Springer, 2008, S. 134–153. doi: 10.1007/978-3-540-70956-5_6.</w:t>
      </w:r>
    </w:p>
    <w:p>
      <w:pPr>
        <w:spacing w:after="120"/>
        <w:ind w:left="454" w:hanging="454"/>
      </w:pPr>
      <w:r>
        <w:t>[2] Jarke J. van Wijk und Edward R. van Selow. „Cluster and Calendar Based Visualization of Time Series Data“. In: Proc. IEEE Symposium on Information Visualization (InfoVis), 1999, S. 4–9. doi: 10.1109/INFVIS.1999.801851.</w:t>
      </w:r>
    </w:p>
    <w:p>
      <w:pPr>
        <w:spacing w:after="120"/>
        <w:ind w:left="454" w:hanging="454"/>
      </w:pPr>
      <w:r>
        <w:t>[3] Lee Byron und Martin Wattenberg. „Stacked Graphs – Geometry &amp; Aesthetics“. In: IEEE Transactions on Visualization and Computer Graphics 14.6 (2008), S. 1245–1252. doi: 10.1109/TVCG.2008.166.</w:t>
      </w:r>
    </w:p>
    <w:p>
      <w:pPr>
        <w:spacing w:after="120"/>
        <w:ind w:left="454" w:hanging="454"/>
      </w:pPr>
      <w:r>
        <w:t>[4] Ben Shneiderman. „Tree Visualization with Tree-Maps: A 2-D Space-Filling Approach“. In: ACM Transactions on Graphics 11.1 (1992), S. 92–99. doi: 10.1145/102377.115768.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0F2A2A"/>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F2A2A"/>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F2A2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