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E24794" w14:textId="77777777" w:rsidR="008561BF" w:rsidRDefault="00000000">
      <w:pPr>
        <w:spacing w:after="57" w:line="259" w:lineRule="auto"/>
        <w:ind w:left="0" w:right="1228" w:firstLine="0"/>
        <w:jc w:val="right"/>
      </w:pPr>
      <w:r>
        <w:rPr>
          <w:rFonts w:cs="Calibri"/>
          <w:b/>
          <w:sz w:val="28"/>
        </w:rPr>
        <w:t>Projektbericht zum Modul Information Visualisierung</w:t>
      </w:r>
      <w:r>
        <w:t xml:space="preserve"> </w:t>
      </w:r>
    </w:p>
    <w:p w14:paraId="42E0C8B7" w14:textId="77777777" w:rsidR="008561BF" w:rsidRDefault="00000000">
      <w:pPr>
        <w:spacing w:after="721" w:line="259" w:lineRule="auto"/>
        <w:ind w:left="0" w:right="2" w:firstLine="0"/>
        <w:jc w:val="center"/>
      </w:pPr>
      <w:r>
        <w:rPr>
          <w:sz w:val="24"/>
        </w:rPr>
        <w:t>Sommersemester 2026</w:t>
      </w:r>
      <w:r>
        <w:t xml:space="preserve"> </w:t>
      </w:r>
    </w:p>
    <w:p w14:paraId="4480E70D" w14:textId="77777777" w:rsidR="008561BF" w:rsidRDefault="00000000">
      <w:pPr>
        <w:spacing w:after="148" w:line="302" w:lineRule="auto"/>
        <w:ind w:left="1747" w:hanging="643"/>
      </w:pPr>
      <w:r>
        <w:rPr>
          <w:rFonts w:cs="Calibri"/>
          <w:b/>
          <w:color w:val="0F766E"/>
          <w:sz w:val="44"/>
        </w:rPr>
        <w:t>EnergyCharts – Visual Analytics des europäischen Stromsystems</w:t>
      </w:r>
      <w:r>
        <w:t xml:space="preserve"> </w:t>
      </w:r>
    </w:p>
    <w:p w14:paraId="202CBE02" w14:textId="77777777" w:rsidR="008561BF" w:rsidRDefault="00000000">
      <w:pPr>
        <w:spacing w:after="0" w:line="259" w:lineRule="auto"/>
        <w:ind w:left="0" w:firstLine="0"/>
      </w:pPr>
      <w:r>
        <w:t xml:space="preserve"> </w:t>
      </w:r>
      <w:r>
        <w:br w:type="page"/>
      </w:r>
    </w:p>
    <w:p w14:paraId="6F8215DC" w14:textId="77777777" w:rsidR="008561BF" w:rsidRDefault="00000000">
      <w:pPr>
        <w:pStyle w:val="berschrift1"/>
        <w:ind w:left="290" w:hanging="305"/>
      </w:pPr>
      <w:r>
        <w:lastRenderedPageBreak/>
        <w:t xml:space="preserve">Einleitung </w:t>
      </w:r>
    </w:p>
    <w:p w14:paraId="6C8D8F88" w14:textId="77777777" w:rsidR="008561BF" w:rsidRDefault="00000000">
      <w:pPr>
        <w:ind w:left="-5"/>
      </w:pPr>
      <w:r>
        <w:t xml:space="preserve">Die Energiewende macht das Stromsystem volatiler und komplexer: Ein wachsender Anteil der Erzeugung stammt aus wetter- und tageszeitabhängigen Quellen wie Photovoltaik und Wind, während Erzeugung und Verbrauch (Last) zu jedem Zeitpunkt im Gleichgewicht bleiben müssen. Wer ein Stromsystem verstehen oder beurteilen will, braucht deshalb einen schnellen Überblick darüber, woraus sich die Erzeugung zusammensetzt, ob sie die Last deckt, welchen zeitlichen Rhythmen sie folgt und wie sich die Erzeugung auf die einzelnen Quellen verteilt. </w:t>
      </w:r>
    </w:p>
    <w:p w14:paraId="0DC842EE" w14:textId="77777777" w:rsidR="008561BF" w:rsidRDefault="00000000">
      <w:pPr>
        <w:spacing w:after="186"/>
        <w:ind w:left="-5"/>
      </w:pPr>
      <w:r>
        <w:rPr>
          <w:b w:val="0"/>
        </w:rPr>
        <w:t>Das Zielproblem ist es, aus den granularen, hochdimensionalen Rohdaten (stündlich, ~18 Quellen, viele Länder) für die Zielgruppe der Energie-Analyst:innen und Journalist:innen (s. 1.2) wenige, schnell entscheidbare und visuell beantwortbare Aussagen ablesbar zu machen. Die konkrete visuelle Herausforderung – und damit der Kern des Zielproblems – ist die Reduktion dieser Fülle auf: (a) den zeitlichen Ausgleichsbedarf (Import/Export/Speicher), (b) die Verlässlichkeit bzw. Abweichung der erneuerbaren Rhythmen und (c) die aufschlüsselbare Zusammensetzung der Erzeugung. Daraus die geschärften Fragestellungen:</w:t>
      </w:r>
    </w:p>
    <w:p w14:paraId="56BC54F0" w14:textId="77777777" w:rsidR="008561BF" w:rsidRDefault="00000000">
      <w:pPr>
        <w:numPr>
          <w:ilvl w:val="0"/>
          <w:numId w:val="1"/>
        </w:numPr>
        <w:spacing w:after="27"/>
        <w:ind w:hanging="360"/>
      </w:pPr>
      <w:r>
        <w:rPr>
          <w:b/>
        </w:rPr>
        <w:t xml:space="preserve">F1 – Saldo &amp; Ausgleich: </w:t>
      </w:r>
      <w:r>
        <w:rPr>
          <w:b w:val="0"/>
        </w:rPr>
        <w:t>Zu welchen Zeiten und in welcher Höhe entsteht ein Erzeugungs-Defizit bzw. -Überschuss, der über Import/Export bzw. Speicher ausgeglichen werden muss? Die Last ist stets gedeckt; analytisch interessant ist die Differenz zwischen Erzeugung und Last.</w:t>
      </w:r>
    </w:p>
    <w:p w14:paraId="12136909" w14:textId="77777777" w:rsidR="008561BF" w:rsidRDefault="00000000">
      <w:pPr>
        <w:numPr>
          <w:ilvl w:val="0"/>
          <w:numId w:val="1"/>
        </w:numPr>
        <w:spacing w:after="27"/>
        <w:ind w:hanging="360"/>
      </w:pPr>
      <w:r>
        <w:rPr>
          <w:b/>
        </w:rPr>
        <w:t xml:space="preserve">F2 – Verlässlichkeit der Rhythmen: </w:t>
      </w:r>
      <w:r>
        <w:rPr>
          <w:b w:val="0"/>
        </w:rPr>
        <w:t>Wie regelmäßig ist das tägliche Solar-/Windmuster im gewählten Fenster, und an welchen Tagen weicht es auffällig ab (z. B. trübe Tage, untypische Verläufe)? Ziel ist die Erkennung von Anomalien, nicht die Bestätigung bekannter Saisonalität.</w:t>
      </w:r>
    </w:p>
    <w:p w14:paraId="0DB13CB0" w14:textId="77777777" w:rsidR="008561BF" w:rsidRDefault="00000000">
      <w:pPr>
        <w:numPr>
          <w:ilvl w:val="0"/>
          <w:numId w:val="1"/>
        </w:numPr>
        <w:ind w:hanging="360"/>
      </w:pPr>
      <w:r>
        <w:rPr>
          <w:b/>
        </w:rPr>
        <w:t xml:space="preserve">F3 – Struktur &amp; Aufschlüsselung: </w:t>
      </w:r>
      <w:r>
        <w:rPr>
          <w:b w:val="0"/>
        </w:rPr>
        <w:t>Welche Rohquellen tragen eine Erzeugungsart tatsächlich (z. B. Wind on-/offshore, Braun-/Steinkohle), und wie ändert sich die Struktur bei Fokus auf einen einzelnen Tag oder ein anderes Land? Die reine %-Aufteilung Erneuerbar/Konventionell ist trivial berechenbar; interessant ist die interaktiv aufschlüsselbare Zusammensetzung.</w:t>
      </w:r>
    </w:p>
    <w:p w14:paraId="6371EB2D" w14:textId="77777777" w:rsidR="008561BF" w:rsidRDefault="00000000">
      <w:pPr>
        <w:spacing w:after="238"/>
        <w:ind w:left="-5"/>
      </w:pPr>
      <w:r>
        <w:t xml:space="preserve">Die drei Fragen sind bewusst so gewählt, dass sie das Zielproblem gemeinsam abdecken </w:t>
      </w:r>
      <w:r>
        <w:rPr>
          <w:rFonts w:cs="Calibri"/>
        </w:rPr>
        <w:t>–</w:t>
      </w:r>
      <w:r>
        <w:t xml:space="preserve"> Verlauf, Rhythmus und Struktur </w:t>
      </w:r>
      <w:r>
        <w:rPr>
          <w:rFonts w:cs="Calibri"/>
        </w:rPr>
        <w:t>–</w:t>
      </w:r>
      <w:r>
        <w:t xml:space="preserve"> und dass die drei entstehenden Sichten sich ergänzen, statt dieselbe Information zu wiederholen. </w:t>
      </w:r>
    </w:p>
    <w:p w14:paraId="245802E1" w14:textId="77777777" w:rsidR="008561BF" w:rsidRDefault="00000000">
      <w:pPr>
        <w:pStyle w:val="berschrift2"/>
        <w:ind w:left="434" w:hanging="449"/>
      </w:pPr>
      <w:r>
        <w:t xml:space="preserve">Anwendungshintergrund </w:t>
      </w:r>
    </w:p>
    <w:p w14:paraId="5F7329EF" w14:textId="77777777" w:rsidR="008561BF" w:rsidRDefault="00000000">
      <w:pPr>
        <w:ind w:left="-5"/>
      </w:pPr>
      <w:r>
        <w:rPr>
          <w:b w:val="0"/>
        </w:rPr>
        <w:t>In einem Stromsystem ist die Last praktisch immer gedeckt – ein Ungleichgewicht führt nicht zu einem Stromausfall, sondern wird laufend über steuerbare Kraftwerke, Speicher (v. a. Pumpspeicher, zunehmend Batteriespeicher) sowie Import/Export im europäischen Verbund ausgeglichen. Die verbleibende, durch diese Flexibilitäten zu deckende Differenz aus Last und wetterabhängiger (erneuerbarer) Erzeugung ist die Residuallast – und genau dieser Ausgleichsbedarf ist die analytisch interessante Größe. Die Erzeugung speist sich aus erneuerbaren Quellen (Photovoltaik, Wind onshore/offshore, Wasserkraft, Biomasse) und konventionellen (Kernkraft, Braun-/Steinkohle, Gas/Öl); die erneuerbaren sind nicht frei steuerbar: PV erzeugt nur tagsüber mit Mittagsmaximum, Wind schwankt wetterbedingt.</w:t>
      </w:r>
    </w:p>
    <w:p w14:paraId="601C9881" w14:textId="77777777" w:rsidR="008561BF" w:rsidRDefault="00000000">
      <w:pPr>
        <w:spacing w:after="237"/>
        <w:ind w:left="-5"/>
      </w:pPr>
      <w:r>
        <w:t xml:space="preserve">Für die Zielgruppen ist damit weniger der einzelne Messwert interessant als die Muster: Folgt die Erzeugung dem Tagesverlauf der Last? Wie groß ist die nächtliche Deckungslücke der Erneuerbaren? Wie stark trägt eine einzelne Quelle zum Gesamtbild bei? Genau auf diese </w:t>
      </w:r>
      <w:r>
        <w:lastRenderedPageBreak/>
        <w:t xml:space="preserve">anwendungsseitigen Muster </w:t>
      </w:r>
      <w:r>
        <w:rPr>
          <w:rFonts w:cs="Calibri"/>
        </w:rPr>
        <w:t>–</w:t>
      </w:r>
      <w:r>
        <w:t xml:space="preserve"> nicht auf die technischen Details einzelner Kraftwerke </w:t>
      </w:r>
      <w:r>
        <w:rPr>
          <w:rFonts w:cs="Calibri"/>
        </w:rPr>
        <w:t>–</w:t>
      </w:r>
      <w:r>
        <w:t xml:space="preserve"> zielt die vorliegende Anwendung. </w:t>
      </w:r>
    </w:p>
    <w:p w14:paraId="44136F2B" w14:textId="77777777" w:rsidR="008561BF" w:rsidRDefault="00000000">
      <w:pPr>
        <w:pStyle w:val="berschrift2"/>
        <w:ind w:left="434" w:hanging="449"/>
      </w:pPr>
      <w:r>
        <w:t xml:space="preserve">Zielgruppen </w:t>
      </w:r>
    </w:p>
    <w:p w14:paraId="389CAA73" w14:textId="77777777" w:rsidR="008561BF" w:rsidRDefault="00000000">
      <w:pPr>
        <w:ind w:left="-5"/>
      </w:pPr>
      <w:r>
        <w:rPr>
          <w:b w:val="0"/>
        </w:rPr>
        <w:t>Die Anwendung fokussiert bewusst eine Zielgruppe: Energie-Analyst:innen und Journalist:innen, die sich in kurzer Zeit ein belastbares Bild eines Landes/Zeitraums machen und berichtenswerte Auffälligkeiten finden müssen. Ihre konkreten Informationsbedürfnisse sind:</w:t>
      </w:r>
    </w:p>
    <w:p w14:paraId="6D43D1D8" w14:textId="77777777" w:rsidR="008561BF" w:rsidRDefault="00000000">
      <w:pPr>
        <w:numPr>
          <w:ilvl w:val="0"/>
          <w:numId w:val="2"/>
        </w:numPr>
        <w:spacing w:after="27"/>
        <w:ind w:hanging="360"/>
      </w:pPr>
      <w:r>
        <w:rPr>
          <w:b/>
        </w:rPr>
        <w:t xml:space="preserve">Ausgleichsbedarf: </w:t>
      </w:r>
      <w:r>
        <w:rPr>
          <w:b w:val="0"/>
        </w:rPr>
        <w:t>Wann und wie stark reicht die Erzeugung nicht (Import/Speicher) bzw. besteht Überschuss (Export)? Grundlage für Aussagen wie „Land X war am Tag Y stark importabhängig“.</w:t>
      </w:r>
    </w:p>
    <w:p w14:paraId="5DD64407" w14:textId="77777777" w:rsidR="008561BF" w:rsidRDefault="00000000">
      <w:pPr>
        <w:numPr>
          <w:ilvl w:val="0"/>
          <w:numId w:val="2"/>
        </w:numPr>
        <w:spacing w:after="27"/>
        <w:ind w:hanging="360"/>
      </w:pPr>
      <w:proofErr w:type="gramStart"/>
      <w:proofErr w:type="gramEnd"/>
      <w:proofErr w:type="gramStart"/>
      <w:proofErr w:type="gramEnd"/>
      <w:r>
        <w:rPr>
          <w:b/>
        </w:rPr>
        <w:t xml:space="preserve">Verlässlichkeit/Anomalien: </w:t>
      </w:r>
      <w:r>
        <w:rPr>
          <w:b w:val="0"/>
        </w:rPr>
        <w:t>Ist der Solar-Mittagspeak stabil, oder gab es Einbruchtage? Verschiebt sich das Windniveau über das Fenster? Direkter Aufhänger für die Berichterstattung.</w:t>
      </w:r>
    </w:p>
    <w:p w14:paraId="7FFCA46B" w14:textId="77777777" w:rsidR="008561BF" w:rsidRDefault="00000000">
      <w:pPr>
        <w:numPr>
          <w:ilvl w:val="0"/>
          <w:numId w:val="2"/>
        </w:numPr>
        <w:ind w:hanging="360"/>
      </w:pPr>
      <w:r>
        <w:rPr>
          <w:b/>
        </w:rPr>
        <w:t xml:space="preserve">Struktur &amp; Vergleich: </w:t>
      </w:r>
      <w:r>
        <w:rPr>
          <w:b w:val="0"/>
        </w:rPr>
        <w:t>Welche Quelle dominiert, und woraus besteht sie (Braun- vs. Steinkohle, on-/offshore)? Wie unterscheidet sich das zwischen Ländern und Tagen?</w:t>
      </w:r>
    </w:p>
    <w:p w14:paraId="7FFCA46B" w14:textId="77777777" w:rsidR="008561BF" w:rsidRDefault="00000000">
      <w:pPr>
        <w:numPr>
          <w:ilvl w:val="0"/>
          <w:numId w:val="2"/>
        </w:numPr>
        <w:ind w:hanging="360"/>
      </w:pPr>
      <w:r>
        <w:rPr>
          <w:b/>
        </w:rPr>
        <w:t xml:space="preserve">Schnelligkeit: </w:t>
      </w:r>
      <w:r>
        <w:rPr>
          <w:b w:val="0"/>
        </w:rPr>
        <w:t>Land- und Zeitfenster-Wechsel müssen ohne Wartezeit vergleichbar sein (alle Länder werden beim Verbinden vorgeladen, die Fenster 7/14/30 Tage clientseitig geschnitten).</w:t>
      </w:r>
    </w:p>
    <w:p w14:paraId="1A3CA1F2" w14:textId="77777777" w:rsidR="008561BF" w:rsidRDefault="00000000">
      <w:pPr>
        <w:spacing w:after="241"/>
        <w:ind w:left="-5"/>
      </w:pPr>
      <w:proofErr w:type="gramStart"/>
      <w:proofErr w:type="gramEnd"/>
      <w:r>
        <w:rPr>
          <w:b w:val="0"/>
        </w:rPr>
        <w:t>Als Vorwissen kann auf ein Grundverständnis von Stromerzeugung und Erzeugungsarten aufgebaut werden; gestapelte Diagramme, sequentielle Farbskalen und Prozentanteile sind vertraut, ebenso Farbkonventionen (Solar gelb, Wind blau). Für die Metrik-Heatmap verwenden wir jedoch bewusst perzeptuell gleichmäßige Skalen (plasma für Solar-Anteil, viridis für Erneuerbaren-Anteil, inferno für Last) statt einer reinen Gelb-Hell-Dunkel-Rampe: Bei Gelb ist eine reine Helligkeitsabstufung schlecht unterscheidbar; plasma/viridis erhöhen Helligkeit und Farbton zugleich.</w:t>
      </w:r>
    </w:p>
    <w:p w14:paraId="231D8B2C" w14:textId="77777777" w:rsidR="008561BF" w:rsidRDefault="00000000">
      <w:pPr>
        <w:pStyle w:val="berschrift2"/>
        <w:ind w:left="434" w:hanging="449"/>
      </w:pPr>
      <w:r>
        <w:t xml:space="preserve">Überblick und Beiträge </w:t>
      </w:r>
    </w:p>
    <w:p w14:paraId="3F70CAAF" w14:textId="77777777" w:rsidR="008561BF" w:rsidRDefault="00000000">
      <w:pPr>
        <w:spacing w:after="1"/>
        <w:ind w:left="-5"/>
      </w:pPr>
      <w:r>
        <w:t xml:space="preserve">Datengrundlage ist die Tabelle energycharts_publicpower der Fraunhofer Energy-ChartsPlattform mit stunden- bzw. viertelstundenaufgelöster öffentlicher Netto-Stromerzeugung nach </w:t>
      </w:r>
    </w:p>
    <w:p w14:paraId="651C8226" w14:textId="77777777" w:rsidR="008561BF" w:rsidRDefault="00000000">
      <w:pPr>
        <w:spacing w:after="189"/>
        <w:ind w:left="-5"/>
      </w:pPr>
      <w:r>
        <w:t xml:space="preserve">Quelle sowie der Last, je Land bzw. für das europäische Aggregat. Aus einer einzigen Abfrage (ein Land, ein Zeitfenster) speisen sich drei verbundene Sichten aus drei Bereichen: ein gestapeltes Flächendiagramm (Bereich Zeitreihen), eine Stunde×Tag-Heatmap (Bereich pixelorientiert) und eine Treemap (Bereich Bäume). Die Beiträge des Projekts sind: </w:t>
      </w:r>
    </w:p>
    <w:p w14:paraId="11B9DF33" w14:textId="77777777" w:rsidR="008561BF" w:rsidRDefault="00000000">
      <w:pPr>
        <w:numPr>
          <w:ilvl w:val="0"/>
          <w:numId w:val="3"/>
        </w:numPr>
        <w:spacing w:after="28"/>
        <w:ind w:hanging="360"/>
      </w:pPr>
      <w:r>
        <w:rPr>
          <w:rFonts w:cs="Calibri"/>
          <w:b/>
        </w:rPr>
        <w:t>B</w:t>
      </w:r>
      <w:proofErr w:type="gramStart"/>
      <w:r>
        <w:rPr>
          <w:rFonts w:cs="Calibri"/>
          <w:b/>
        </w:rPr>
        <w:t xml:space="preserve">1  </w:t>
      </w:r>
      <w:r>
        <w:t>Eine</w:t>
      </w:r>
      <w:proofErr w:type="gramEnd"/>
      <w:r>
        <w:t xml:space="preserve"> anwendungsgetriebene Auswahl dreier komplementärer Techniken, die gemeinsam Verlauf, Rhythmus und Struktur abdecken. </w:t>
      </w:r>
    </w:p>
    <w:p w14:paraId="22B45084" w14:textId="77777777" w:rsidR="008561BF" w:rsidRDefault="00000000">
      <w:pPr>
        <w:numPr>
          <w:ilvl w:val="0"/>
          <w:numId w:val="3"/>
        </w:numPr>
        <w:spacing w:after="27"/>
        <w:ind w:hanging="360"/>
      </w:pPr>
      <w:r>
        <w:rPr>
          <w:rFonts w:cs="Calibri"/>
          <w:b/>
        </w:rPr>
        <w:t>B</w:t>
      </w:r>
      <w:proofErr w:type="gramStart"/>
      <w:r>
        <w:rPr>
          <w:rFonts w:cs="Calibri"/>
          <w:b/>
        </w:rPr>
        <w:t xml:space="preserve">2  </w:t>
      </w:r>
      <w:r>
        <w:t>Eine</w:t>
      </w:r>
      <w:proofErr w:type="gramEnd"/>
      <w:r>
        <w:t xml:space="preserve"> verbundene Interaktion (koordinierte Sichten): Hover hebt eine Quelle überall hervor, ein Klick auf einen Tag filtert die beiden anderen Sichten. </w:t>
      </w:r>
    </w:p>
    <w:p w14:paraId="7A819923" w14:textId="77777777" w:rsidR="008561BF" w:rsidRDefault="00000000">
      <w:pPr>
        <w:numPr>
          <w:ilvl w:val="0"/>
          <w:numId w:val="3"/>
        </w:numPr>
        <w:ind w:hanging="360"/>
      </w:pPr>
      <w:r>
        <w:rPr>
          <w:rFonts w:cs="Calibri"/>
          <w:b/>
        </w:rPr>
        <w:t>B</w:t>
      </w:r>
      <w:proofErr w:type="gramStart"/>
      <w:r>
        <w:rPr>
          <w:rFonts w:cs="Calibri"/>
          <w:b/>
        </w:rPr>
        <w:t xml:space="preserve">3  </w:t>
      </w:r>
      <w:r>
        <w:t>Eine</w:t>
      </w:r>
      <w:proofErr w:type="gramEnd"/>
      <w:r>
        <w:t xml:space="preserve"> durchgängig in Elm programmierte Datenvorverarbeitung (8 fachliche Bänder, </w:t>
      </w:r>
      <w:proofErr w:type="gramStart"/>
      <w:r>
        <w:t>stündliches Aufschlüsselung</w:t>
      </w:r>
      <w:proofErr w:type="gramEnd"/>
      <w:r>
        <w:t xml:space="preserve">, Treemap-Summen), die auf Änderungen der Rohdaten reagiert. </w:t>
      </w:r>
    </w:p>
    <w:p w14:paraId="7A819923" w14:textId="77777777" w:rsidR="008561BF" w:rsidRDefault="00000000">
      <w:pPr>
        <w:numPr>
          <w:ilvl w:val="0"/>
          <w:numId w:val="3"/>
        </w:numPr>
        <w:ind w:hanging="360"/>
      </w:pPr>
      <w:proofErr w:type="gramStart"/>
      <w:proofErr w:type="gramEnd"/>
      <w:proofErr w:type="gramStart"/>
      <w:proofErr w:type="gramEnd"/>
      <w:r>
        <w:rPr>
          <w:b/>
        </w:rPr>
        <w:t xml:space="preserve">B4  </w:t>
      </w:r>
      <w:r>
        <w:rPr>
          <w:b w:val="0"/>
        </w:rPr>
        <w:t>Darstellung des Saldos (Import/Export bzw. Speicherbedarf) im Flächendiagramm – rote Fläche = Defizit, grüne Fläche = Überschuss.</w:t>
      </w:r>
    </w:p>
    <w:p w14:paraId="7A819923" w14:textId="77777777" w:rsidR="008561BF" w:rsidRDefault="00000000">
      <w:pPr>
        <w:numPr>
          <w:ilvl w:val="0"/>
          <w:numId w:val="3"/>
        </w:numPr>
        <w:ind w:hanging="360"/>
      </w:pPr>
      <w:proofErr w:type="gramStart"/>
      <w:proofErr w:type="gramEnd"/>
      <w:proofErr w:type="gramStart"/>
      <w:proofErr w:type="gramEnd"/>
      <w:r>
        <w:rPr>
          <w:b/>
        </w:rPr>
        <w:t xml:space="preserve">B5  </w:t>
      </w:r>
      <w:r>
        <w:t>Interaktive Aufschlüsselung der Erzeugungsarten in ihre Rohquellen (Treemap-Drill-down) – eine echte Hierarchie Gruppe → Erzeugungsart → Rohquelle.</w:t>
      </w:r>
    </w:p>
    <w:p w14:paraId="58DCD4F7" w14:textId="77777777" w:rsidR="008561BF" w:rsidRDefault="00000000">
      <w:pPr>
        <w:pStyle w:val="berschrift1"/>
        <w:ind w:left="290" w:hanging="305"/>
      </w:pPr>
      <w:r>
        <w:lastRenderedPageBreak/>
        <w:t xml:space="preserve">Daten </w:t>
      </w:r>
    </w:p>
    <w:p w14:paraId="2AE2EE4F" w14:textId="77777777" w:rsidR="008561BF" w:rsidRDefault="00000000">
      <w:pPr>
        <w:spacing w:after="1"/>
        <w:ind w:left="-5"/>
      </w:pPr>
      <w:r>
        <w:t xml:space="preserve">Grundlage ist die Tabelle energycharts_publicpower. Jede Zeile ist eine Messung und enthält einen Zeitstempel (unix_seconds), eine Länderkennung (country_id), die Last (load_in_gw) sowie rund 18 Erzeugungsspalten in Gigawatt (u. a. Solar, Wind onshore/offshore, </w:t>
      </w:r>
    </w:p>
    <w:p w14:paraId="5EDD19B9" w14:textId="77777777" w:rsidR="008561BF" w:rsidRDefault="00000000">
      <w:pPr>
        <w:ind w:left="-5"/>
      </w:pPr>
      <w:r>
        <w:t xml:space="preserve">Laufwasser/Speicher/Pumpspeicher, Biomasse, Geothermie, Kernkraft, Braun-/Steinkohle, Öl, </w:t>
      </w:r>
      <w:r>
        <w:rPr>
          <w:rFonts w:cs="Calibri"/>
        </w:rPr>
        <w:t>Gas, Abfall, Sonstige). Abgedeckt sind rund 32 Länder sowie die Aggregate „all“</w:t>
      </w:r>
      <w:proofErr w:type="gramStart"/>
      <w:r>
        <w:rPr>
          <w:rFonts w:cs="Calibri"/>
        </w:rPr>
        <w:t>/„</w:t>
      </w:r>
      <w:proofErr w:type="gramEnd"/>
      <w:r>
        <w:rPr>
          <w:rFonts w:cs="Calibri"/>
        </w:rPr>
        <w:t xml:space="preserve">eu“, in </w:t>
      </w:r>
      <w:r>
        <w:t xml:space="preserve">stündlicher bzw. viertelstündlicher Auflösung. </w:t>
      </w:r>
    </w:p>
    <w:p w14:paraId="6330C3EB" w14:textId="77777777" w:rsidR="008561BF" w:rsidRDefault="00000000">
      <w:pPr>
        <w:ind w:left="-5"/>
      </w:pPr>
      <w:r>
        <w:rPr>
          <w:b w:val="0"/>
        </w:rPr>
        <w:t>Eignung und Grenzen: Für F1–F3 sind die Daten gut geeignet, da zeitlich aufgelöst und quellenscharf. Zu beachten: Deutschland liegt als Gebotszone DE-LU (gemeinsam mit Luxemburg) vor. Preisdaten stehen in der Tabelle „price“, Wetterdaten (DWD) sind inzwischen verfügbar; beide lassen sich als Kontext einbinden – Wetter/Einstrahlung zur Erklärung von Solar-Einbruchtagen (F2), Preise als Bezug zum Ausgleichsbedarf (F1). Etwaige Null-Platzhalter einzelner Länder betreffen nur die Entwicklungs-DB, nicht die produktive View.</w:t>
      </w:r>
    </w:p>
    <w:p w14:paraId="60D8F5EC" w14:textId="77777777" w:rsidR="008561BF" w:rsidRDefault="00000000">
      <w:pPr>
        <w:spacing w:after="9"/>
        <w:ind w:left="-5"/>
      </w:pPr>
      <w:r>
        <w:t xml:space="preserve">Technische Bereitstellung: Der Zugriff erfolgt über eine Tabellen-API, die JSON liefert und ein </w:t>
      </w:r>
    </w:p>
    <w:p w14:paraId="7E5F399E" w14:textId="77777777" w:rsidR="008561BF" w:rsidRDefault="00000000">
      <w:pPr>
        <w:ind w:left="-5"/>
      </w:pPr>
      <w:r>
        <w:t xml:space="preserve">Bearer-Token verlangt. Ein kleiner Node-Proxy holt das Token selbst (Basic-Auth) und leitet die Abfragen weiter, sodass kein manuelles Einfügen von Tokens nötig ist und zugleich CORS umgangen wird. Zwei selbst gemessene Eigenheiten bestimmen das Laden: Erstens wirken serverseitige Filter auf country_id (String) nicht; zweitens materialisiert eine Abfrage mit leerem where_ die gesamte Tabelle (~15 s), während numerische Filter schnell sind (&lt;1 s). Als Lade-Trick nutzen wir, dass die Zeilen pro Land in zusammenhängenden, zeitlich aufsteigenden id-Blöcken liegen: Eine gefilterte Abfrage der jüngsten Daten liefert zugleich den größten Zeitstempel und je Land die größte id (Block-Obergrenze); ein Land wird anschließend über einen numerischen id-Bereich in einer einzigen kleinen Abfrage geladen. </w:t>
      </w:r>
    </w:p>
    <w:p w14:paraId="7E5F399E" w14:textId="77777777" w:rsidR="008561BF" w:rsidRDefault="00000000">
      <w:pPr>
        <w:ind w:left="-5"/>
      </w:pPr>
      <w:r>
        <w:rPr>
          <w:b/>
        </w:rPr>
        <w:t xml:space="preserve">Wichtig für die Robustheit: </w:t>
      </w:r>
      <w:r>
        <w:rPr>
          <w:b w:val="0"/>
        </w:rPr>
        <w:t>Der Zeitbereich je Land wird explizit per SQL definiert (Filter auf unix_seconds und ORDER BY unix_seconds); wir verlassen uns nicht auf zusammenhängende, „zufällig“ aufsteigende id-Blöcke bzw. eine ungesicherte Zeilenreihenfolge.</w:t>
      </w:r>
    </w:p>
    <w:p w14:paraId="26326F44" w14:textId="77777777" w:rsidR="008561BF" w:rsidRDefault="00000000">
      <w:pPr>
        <w:spacing w:after="197"/>
        <w:ind w:left="-5"/>
      </w:pPr>
      <w:r>
        <w:t xml:space="preserve">Eine Datenvorverarbeitung soll, wie folgt stattfinden: </w:t>
      </w:r>
    </w:p>
    <w:p w14:paraId="77E349C2" w14:textId="77777777" w:rsidR="008561BF" w:rsidRDefault="00000000">
      <w:pPr>
        <w:numPr>
          <w:ilvl w:val="0"/>
          <w:numId w:val="4"/>
        </w:numPr>
        <w:spacing w:after="25"/>
        <w:ind w:hanging="360"/>
      </w:pPr>
      <w:r>
        <w:rPr>
          <w:rFonts w:cs="Calibri"/>
          <w:b/>
        </w:rPr>
        <w:t xml:space="preserve">Filtern von Platzhaltern: </w:t>
      </w:r>
      <w:r>
        <w:t xml:space="preserve">Zeilen, deren Erzeugung und Last gleich null sind, werden ausgeblendet, damit leere Länder die Sichten nicht verfälschen. </w:t>
      </w:r>
    </w:p>
    <w:p w14:paraId="6591914F" w14:textId="77777777" w:rsidR="008561BF" w:rsidRDefault="00000000">
      <w:pPr>
        <w:numPr>
          <w:ilvl w:val="0"/>
          <w:numId w:val="4"/>
        </w:numPr>
        <w:ind w:hanging="360"/>
      </w:pPr>
      <w:r>
        <w:rPr>
          <w:rFonts w:cs="Calibri"/>
          <w:b/>
        </w:rPr>
        <w:t xml:space="preserve">Aggregation zu 8 Bändern: </w:t>
      </w:r>
      <w:r>
        <w:t xml:space="preserve">Die ~18 Rohspalten werden zu acht fachlich sinnvollen Bändern zusammengefasst (Solar, Wind, Wasserkraft, Biomasse, Kernkraft, Kohle, Gas/Öl, Sonstige). Das reduziert die kognitive Last und erlaubt eine konsistente Farbpalette über alle drei Sichten. </w:t>
      </w:r>
    </w:p>
    <w:p w14:paraId="1C806AE1" w14:textId="77777777" w:rsidR="008561BF" w:rsidRDefault="00000000">
      <w:pPr>
        <w:numPr>
          <w:ilvl w:val="0"/>
          <w:numId w:val="4"/>
        </w:numPr>
        <w:spacing w:after="10"/>
        <w:ind w:hanging="360"/>
      </w:pPr>
      <w:r>
        <w:rPr>
          <w:b/>
        </w:rPr>
        <w:t xml:space="preserve">Stündliches Binning (Heatmap): </w:t>
      </w:r>
      <w:r>
        <w:rPr>
          <w:b w:val="0"/>
        </w:rPr>
        <w:t>Je (Tag, Stunde) wird der Mittelwert der 15-Minuten-Werte gebildet – nicht wegen der Datenmenge (~8.760 h/Jahr sind fürs Display unkritisch), sondern für einen robusten, ausreißerarmen Stundenwert je Zelle und ein klar rasterbares Tag×Stunde-Gitter. Die Sicht ist kein dichter Pixel-Plot, sondern ein zyklisches Raster (Cycle-/Kalender-Plot-Prinzip): Sie faltet die Zeit in zwei periodische Achsen (Stunde × Tag), damit Tagesrhythmen und Abweichungen auf einen Blick vergleichbar werden.</w:t>
      </w:r>
    </w:p>
    <w:p w14:paraId="0590F1CA" w14:textId="77777777" w:rsidR="008561BF" w:rsidRDefault="00000000">
      <w:pPr>
        <w:numPr>
          <w:ilvl w:val="0"/>
          <w:numId w:val="4"/>
        </w:numPr>
        <w:spacing w:after="27"/>
        <w:ind w:hanging="360"/>
      </w:pPr>
      <w:r>
        <w:rPr>
          <w:rFonts w:cs="Calibri"/>
          <w:b/>
        </w:rPr>
        <w:t xml:space="preserve">Summen je Band (Treemap): </w:t>
      </w:r>
      <w:r>
        <w:t xml:space="preserve">Über den Zeitraum wird je Band die Summe der Leistung gebildet; sie ist proportional zur erzeugten Energie und damit die aussagekräftige Größe für Anteile. </w:t>
      </w:r>
    </w:p>
    <w:p w14:paraId="249880C4" w14:textId="77777777" w:rsidR="008561BF" w:rsidRDefault="00000000">
      <w:pPr>
        <w:numPr>
          <w:ilvl w:val="0"/>
          <w:numId w:val="4"/>
        </w:numPr>
        <w:spacing w:after="375"/>
        <w:ind w:hanging="360"/>
      </w:pPr>
      <w:r>
        <w:rPr>
          <w:rFonts w:cs="Calibri"/>
          <w:b/>
        </w:rPr>
        <w:t xml:space="preserve">Metrik-Ableitung: </w:t>
      </w:r>
      <w:r>
        <w:t xml:space="preserve">Für die Heatmap werden Solar-Anteil bzw. Erneuerbaren-Anteil als Prozent der Gesamterzeugung berechnet; alternativ die Last in GW. </w:t>
      </w:r>
    </w:p>
    <w:p w14:paraId="0990A364" w14:textId="77777777" w:rsidR="008561BF" w:rsidRDefault="00000000">
      <w:pPr>
        <w:pStyle w:val="berschrift1"/>
        <w:ind w:left="290" w:hanging="305"/>
      </w:pPr>
      <w:r>
        <w:t xml:space="preserve">Visualisierungen </w:t>
      </w:r>
    </w:p>
    <w:p w14:paraId="0CD8F20C" w14:textId="77777777" w:rsidR="008561BF" w:rsidRDefault="00000000">
      <w:pPr>
        <w:spacing w:after="45" w:line="259" w:lineRule="auto"/>
        <w:ind w:left="0" w:firstLine="0"/>
      </w:pPr>
      <w:r>
        <w:rPr>
          <w:u w:val="single" w:color="000000"/>
        </w:rPr>
        <w:t>Geplant:</w:t>
      </w:r>
      <w:r>
        <w:t xml:space="preserve"> </w:t>
      </w:r>
    </w:p>
    <w:p w14:paraId="79CA6B1B" w14:textId="77777777" w:rsidR="008561BF" w:rsidRDefault="00000000">
      <w:pPr>
        <w:numPr>
          <w:ilvl w:val="0"/>
          <w:numId w:val="5"/>
        </w:numPr>
        <w:spacing w:after="6"/>
        <w:ind w:hanging="218"/>
      </w:pPr>
      <w:r>
        <w:rPr>
          <w:b w:val="0"/>
        </w:rPr>
        <w:t>Gestapeltes Flächendiagramm der Erzeugung über die Zeit mit überlagerter Last-Linie und farbigem Saldo (rot = Defizit/Import, grün = Überschuss/Export).</w:t>
      </w:r>
    </w:p>
    <w:p w14:paraId="657BE637" w14:textId="77777777" w:rsidR="008561BF" w:rsidRDefault="00000000">
      <w:pPr>
        <w:numPr>
          <w:ilvl w:val="0"/>
          <w:numId w:val="5"/>
        </w:numPr>
        <w:spacing w:after="1"/>
        <w:ind w:hanging="218"/>
      </w:pPr>
      <w:r>
        <w:rPr>
          <w:b w:val="0"/>
        </w:rPr>
        <w:t>Stunde×Tag-Heatmap des Solar- bzw. Erneuerbaren-Anteils (perzeptuell gleichmäßige Farbskala); Klick auf einen Tag fokussiert die beiden anderen Sichten.</w:t>
      </w:r>
    </w:p>
    <w:p w14:paraId="5D3BAC1D" w14:textId="77777777" w:rsidR="008561BF" w:rsidRDefault="00000000">
      <w:pPr>
        <w:numPr>
          <w:ilvl w:val="0"/>
          <w:numId w:val="5"/>
        </w:numPr>
        <w:ind w:hanging="218"/>
      </w:pPr>
      <w:r>
        <w:rPr>
          <w:b w:val="0"/>
        </w:rPr>
        <w:t>Treemap der Erzeugungsstruktur als echte Hierarchie Erneuerbar/Konventionell → Erzeugungsart → Rohquelle; Bänder (z. B. Wind, Kohle) lassen sich per Klick interaktiv in ihre Rohquellen aufschlüsseln.</w:t>
      </w:r>
    </w:p>
    <w:p w14:paraId="5546B019" w14:textId="77777777" w:rsidR="008561BF" w:rsidRDefault="00000000">
      <w:pPr>
        <w:spacing w:after="203" w:line="259" w:lineRule="auto"/>
        <w:ind w:left="0" w:firstLine="0"/>
      </w:pPr>
      <w:r>
        <w:t xml:space="preserve"> </w:t>
      </w:r>
    </w:p>
    <w:p w14:paraId="13DE8793" w14:textId="77777777" w:rsidR="008561BF" w:rsidRDefault="00000000">
      <w:pPr>
        <w:spacing w:after="0" w:line="259" w:lineRule="auto"/>
        <w:ind w:left="0" w:firstLine="0"/>
      </w:pPr>
      <w:r>
        <w:t xml:space="preserve"> </w:t>
      </w:r>
    </w:p>
    <w:sectPr w:rsidR="008561BF">
      <w:pgSz w:w="12240" w:h="15840"/>
      <w:pgMar w:top="1484" w:right="1796" w:bottom="1724"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EEE0220"/>
    <w:multiLevelType w:val="multilevel"/>
    <w:tmpl w:val="55285ECA"/>
    <w:lvl w:ilvl="0">
      <w:start w:val="1"/>
      <w:numFmt w:val="decimal"/>
      <w:pStyle w:val="berschrift1"/>
      <w:lvlText w:val="%1"/>
      <w:lvlJc w:val="left"/>
      <w:pPr>
        <w:ind w:left="0"/>
      </w:pPr>
      <w:rPr>
        <w:rFonts w:ascii="Calibri" w:eastAsia="Calibri" w:hAnsi="Calibri" w:cs="Calibri"/>
        <w:b/>
        <w:bCs/>
        <w:i w:val="0"/>
        <w:strike w:val="0"/>
        <w:dstrike w:val="0"/>
        <w:color w:val="0F2A2A"/>
        <w:sz w:val="32"/>
        <w:szCs w:val="32"/>
        <w:u w:val="none" w:color="000000"/>
        <w:bdr w:val="none" w:sz="0" w:space="0" w:color="auto"/>
        <w:shd w:val="clear" w:color="auto" w:fill="auto"/>
        <w:vertAlign w:val="baseline"/>
      </w:rPr>
    </w:lvl>
    <w:lvl w:ilvl="1">
      <w:start w:val="1"/>
      <w:numFmt w:val="decimal"/>
      <w:pStyle w:val="berschrift2"/>
      <w:lvlText w:val="%1.%2"/>
      <w:lvlJc w:val="left"/>
      <w:pPr>
        <w:ind w:left="0"/>
      </w:pPr>
      <w:rPr>
        <w:rFonts w:ascii="Calibri" w:eastAsia="Calibri" w:hAnsi="Calibri" w:cs="Calibri"/>
        <w:b/>
        <w:bCs/>
        <w:i w:val="0"/>
        <w:strike w:val="0"/>
        <w:dstrike w:val="0"/>
        <w:color w:val="0F2A2A"/>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0F2A2A"/>
        <w:sz w:val="26"/>
        <w:szCs w:val="2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0F2A2A"/>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0F2A2A"/>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0F2A2A"/>
        <w:sz w:val="26"/>
        <w:szCs w:val="2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0F2A2A"/>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0F2A2A"/>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0F2A2A"/>
        <w:sz w:val="26"/>
        <w:szCs w:val="26"/>
        <w:u w:val="none" w:color="000000"/>
        <w:bdr w:val="none" w:sz="0" w:space="0" w:color="auto"/>
        <w:shd w:val="clear" w:color="auto" w:fill="auto"/>
        <w:vertAlign w:val="baseline"/>
      </w:rPr>
    </w:lvl>
  </w:abstractNum>
  <w:abstractNum w:abstractNumId="1" w15:restartNumberingAfterBreak="0">
    <w:nsid w:val="14EE1C25"/>
    <w:multiLevelType w:val="hybridMultilevel"/>
    <w:tmpl w:val="BF2439C4"/>
    <w:lvl w:ilvl="0" w:tplc="982C61C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D0E151A">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D9727DC6">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7F72B988">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D7C3C3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365E37EE">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984F8BA">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B765A86">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FD4541C">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FD24BAD"/>
    <w:multiLevelType w:val="hybridMultilevel"/>
    <w:tmpl w:val="FA2275CC"/>
    <w:lvl w:ilvl="0" w:tplc="91642994">
      <w:start w:val="1"/>
      <w:numFmt w:val="decimal"/>
      <w:lvlText w:val="%1."/>
      <w:lvlJc w:val="left"/>
      <w:pPr>
        <w:ind w:left="2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06AD74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EB29D9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7BC44F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63CF2A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076E33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72C7D4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B0F2CC1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5BAC405A">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65B0F4E"/>
    <w:multiLevelType w:val="hybridMultilevel"/>
    <w:tmpl w:val="A69E6382"/>
    <w:lvl w:ilvl="0" w:tplc="F968A5FC">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10C31FE">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62C324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30743F2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072B606">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AB624124">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60003FB4">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B103CCA">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5F4B4FA">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42271B1"/>
    <w:multiLevelType w:val="hybridMultilevel"/>
    <w:tmpl w:val="DF7C5D80"/>
    <w:lvl w:ilvl="0" w:tplc="954633E2">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F26B5B0">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CA46744">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4F85AB4">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B48CFB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B9A7E68">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CD89BE6">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86C7B54">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D125410">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5897733A"/>
    <w:multiLevelType w:val="hybridMultilevel"/>
    <w:tmpl w:val="8B4078F6"/>
    <w:lvl w:ilvl="0" w:tplc="F594EC1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6DEA4C8">
      <w:start w:val="1"/>
      <w:numFmt w:val="bullet"/>
      <w:lvlText w:val="o"/>
      <w:lvlJc w:val="left"/>
      <w:pPr>
        <w:ind w:left="10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3583A00">
      <w:start w:val="1"/>
      <w:numFmt w:val="bullet"/>
      <w:lvlText w:val="▪"/>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936E4D6E">
      <w:start w:val="1"/>
      <w:numFmt w:val="bullet"/>
      <w:lvlText w:val="•"/>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C0071E8">
      <w:start w:val="1"/>
      <w:numFmt w:val="bullet"/>
      <w:lvlText w:val="o"/>
      <w:lvlJc w:val="left"/>
      <w:pPr>
        <w:ind w:left="32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220F446">
      <w:start w:val="1"/>
      <w:numFmt w:val="bullet"/>
      <w:lvlText w:val="▪"/>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FE02C0">
      <w:start w:val="1"/>
      <w:numFmt w:val="bullet"/>
      <w:lvlText w:val="•"/>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B20252">
      <w:start w:val="1"/>
      <w:numFmt w:val="bullet"/>
      <w:lvlText w:val="o"/>
      <w:lvlJc w:val="left"/>
      <w:pPr>
        <w:ind w:left="54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DCA9902">
      <w:start w:val="1"/>
      <w:numFmt w:val="bullet"/>
      <w:lvlText w:val="▪"/>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905291217">
    <w:abstractNumId w:val="5"/>
  </w:num>
  <w:num w:numId="2" w16cid:durableId="1108040630">
    <w:abstractNumId w:val="4"/>
  </w:num>
  <w:num w:numId="3" w16cid:durableId="534080100">
    <w:abstractNumId w:val="3"/>
  </w:num>
  <w:num w:numId="4" w16cid:durableId="1156532608">
    <w:abstractNumId w:val="1"/>
  </w:num>
  <w:num w:numId="5" w16cid:durableId="9569581">
    <w:abstractNumId w:val="2"/>
  </w:num>
  <w:num w:numId="6" w16cid:durableId="57713724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61BF"/>
    <w:rsid w:val="008561BF"/>
    <w:rsid w:val="00AA3232"/>
    <w:rsid w:val="00D40D5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1E49E6BB"/>
  <w15:docId w15:val="{83C94A4B-143D-5D46-9D00-B5E233B50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61" w:line="299" w:lineRule="auto"/>
      <w:ind w:left="10" w:hanging="10"/>
    </w:pPr>
    <w:rPr>
      <w:rFonts w:ascii="Calibri" w:eastAsia="Calibri" w:hAnsi="Calibri" w:cs="Times New Roman"/>
      <w:color w:val="000000"/>
      <w:sz w:val="22"/>
      <w:lang w:val="de" w:eastAsia="de"/>
    </w:rPr>
  </w:style>
  <w:style w:type="paragraph" w:styleId="berschrift1">
    <w:name w:val="heading 1"/>
    <w:next w:val="Standard"/>
    <w:link w:val="berschrift1Zchn"/>
    <w:uiPriority w:val="9"/>
    <w:qFormat/>
    <w:pPr>
      <w:keepNext/>
      <w:keepLines/>
      <w:numPr>
        <w:numId w:val="6"/>
      </w:numPr>
      <w:spacing w:after="92" w:line="259" w:lineRule="auto"/>
      <w:ind w:left="10" w:hanging="10"/>
      <w:outlineLvl w:val="0"/>
    </w:pPr>
    <w:rPr>
      <w:rFonts w:ascii="Calibri" w:eastAsia="Calibri" w:hAnsi="Calibri" w:cs="Calibri"/>
      <w:b/>
      <w:color w:val="0F2A2A"/>
      <w:sz w:val="32"/>
    </w:rPr>
  </w:style>
  <w:style w:type="paragraph" w:styleId="berschrift2">
    <w:name w:val="heading 2"/>
    <w:next w:val="Standard"/>
    <w:link w:val="berschrift2Zchn"/>
    <w:uiPriority w:val="9"/>
    <w:unhideWhenUsed/>
    <w:qFormat/>
    <w:pPr>
      <w:keepNext/>
      <w:keepLines/>
      <w:numPr>
        <w:ilvl w:val="1"/>
        <w:numId w:val="6"/>
      </w:numPr>
      <w:spacing w:after="136" w:line="259" w:lineRule="auto"/>
      <w:ind w:left="10" w:hanging="10"/>
      <w:outlineLvl w:val="1"/>
    </w:pPr>
    <w:rPr>
      <w:rFonts w:ascii="Calibri" w:eastAsia="Calibri" w:hAnsi="Calibri" w:cs="Calibri"/>
      <w:b/>
      <w:color w:val="0F2A2A"/>
      <w:sz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link w:val="berschrift2"/>
    <w:rPr>
      <w:rFonts w:ascii="Calibri" w:eastAsia="Calibri" w:hAnsi="Calibri" w:cs="Calibri"/>
      <w:b/>
      <w:color w:val="0F2A2A"/>
      <w:sz w:val="26"/>
    </w:rPr>
  </w:style>
  <w:style w:type="character" w:customStyle="1" w:styleId="berschrift1Zchn">
    <w:name w:val="Überschrift 1 Zchn"/>
    <w:link w:val="berschrift1"/>
    <w:rPr>
      <w:rFonts w:ascii="Calibri" w:eastAsia="Calibri" w:hAnsi="Calibri" w:cs="Calibri"/>
      <w:b/>
      <w:color w:val="0F2A2A"/>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1096</Words>
  <Characters>7491</Characters>
  <Application>Microsoft Office Word</Application>
  <DocSecurity>0</DocSecurity>
  <Lines>122</Lines>
  <Paragraphs>48</Paragraphs>
  <ScaleCrop>false</ScaleCrop>
  <Company/>
  <LinksUpToDate>false</LinksUpToDate>
  <CharactersWithSpaces>8539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Ismail Labdi</cp:lastModifiedBy>
  <cp:revision>2</cp:revision>
  <dcterms:created xsi:type="dcterms:W3CDTF">2026-07-28T18:59:00Z</dcterms:created>
  <dcterms:modified xsi:type="dcterms:W3CDTF">2026-07-28T18:59:00Z</dcterms:modified>
</cp:coreProperties>
</file>