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9" w:name="content"/>
    <w:bookmarkStart w:id="98" w:name="X585a293bb6dd64da29c11cc6859b2812815e1b8"/>
    <w:p>
      <w:pPr>
        <w:pStyle w:val="Heading1"/>
      </w:pPr>
      <w:r>
        <w:t xml:space="preserve">Deep Research on Free Public Alternative-Data Signals for Single-Stock Backtesting</w:t>
      </w:r>
    </w:p>
    <w:bookmarkStart w:id="24" w:name="context-and-framing"/>
    <w:p>
      <w:pPr>
        <w:pStyle w:val="Heading2"/>
      </w:pPr>
      <w:r>
        <w:t xml:space="preserve">Context and framing</w:t>
      </w:r>
    </w:p>
    <w:p>
      <w:pPr>
        <w:pStyle w:val="FirstParagraph"/>
      </w:pPr>
      <w:r>
        <w:t xml:space="preserve">You’re proposing an alternative-data backtesting system that (a) ingests</w:t>
      </w:r>
      <w:r>
        <w:t xml:space="preserve"> </w:t>
      </w:r>
      <w:r>
        <w:rPr>
          <w:b/>
          <w:bCs/>
        </w:rPr>
        <w:t xml:space="preserve">332 signals across ~45 signal types</w:t>
      </w:r>
      <w:r>
        <w:t xml:space="preserve">, (b) aligns them to</w:t>
      </w:r>
      <w:r>
        <w:t xml:space="preserve"> </w:t>
      </w:r>
      <w:r>
        <w:rPr>
          <w:b/>
          <w:bCs/>
        </w:rPr>
        <w:t xml:space="preserve">~6.7 years of daily price data</w:t>
      </w:r>
      <w:r>
        <w:t xml:space="preserve">, and (c) tries to identify which signals</w:t>
      </w:r>
      <w:r>
        <w:t xml:space="preserve"> </w:t>
      </w:r>
      <w:r>
        <w:rPr>
          <w:b/>
          <w:bCs/>
        </w:rPr>
        <w:t xml:space="preserve">predict price movements</w:t>
      </w:r>
      <w:r>
        <w:t xml:space="preserve">, quantify the edge, and use validated patterns as</w:t>
      </w:r>
      <w:r>
        <w:t xml:space="preserve"> </w:t>
      </w:r>
      <w:r>
        <w:rPr>
          <w:b/>
          <w:bCs/>
        </w:rPr>
        <w:t xml:space="preserve">initial weights</w:t>
      </w:r>
      <w:r>
        <w:t xml:space="preserve"> </w:t>
      </w:r>
      <w:r>
        <w:t xml:space="preserve">in a broader prediction engine. The first test case is</w:t>
      </w:r>
      <w:r>
        <w:t xml:space="preserve"> </w:t>
      </w:r>
      <w:r>
        <w:rPr>
          <w:b/>
          <w:bCs/>
        </w:rPr>
        <w:t xml:space="preserve">one stock (Uber)</w:t>
      </w:r>
      <w:r>
        <w:t xml:space="preserve"> </w:t>
      </w:r>
      <w:r>
        <w:t xml:space="preserve">and the data sources are</w:t>
      </w:r>
      <w:r>
        <w:t xml:space="preserve"> </w:t>
      </w:r>
      <w:r>
        <w:rPr>
          <w:b/>
          <w:bCs/>
        </w:rPr>
        <w:t xml:space="preserve">free and publicly available</w:t>
      </w:r>
      <w:r>
        <w:t xml:space="preserve">.</w:t>
      </w:r>
    </w:p>
    <w:p>
      <w:pPr>
        <w:pStyle w:val="BodyText"/>
      </w:pPr>
      <w:r>
        <w:t xml:space="preserve">From the perspective of elite quantitative and fundamental investors, this problem sits at the intersection of (i) the</w:t>
      </w:r>
      <w:r>
        <w:t xml:space="preserve"> </w:t>
      </w:r>
      <w:r>
        <w:rPr>
          <w:b/>
          <w:bCs/>
        </w:rPr>
        <w:t xml:space="preserve">Efficient Markets Hypothesis (EMH)</w:t>
      </w:r>
      <w:r>
        <w:t xml:space="preserve">—prices “fully reflect” available information in the relevant sense—and (ii) the reality that markets can be</w:t>
      </w:r>
      <w:r>
        <w:t xml:space="preserve"> </w:t>
      </w:r>
      <w:r>
        <w:rPr>
          <w:b/>
          <w:bCs/>
        </w:rPr>
        <w:t xml:space="preserve">not perfectly efficient</w:t>
      </w:r>
      <w:r>
        <w:t xml:space="preserve"> </w:t>
      </w:r>
      <w:r>
        <w:t xml:space="preserve">because information is costly to process, attention is limited, and arbitrage is constrained (“limits to arbitrage”).</w:t>
      </w:r>
      <w:r>
        <w:t xml:space="preserve"> </w:t>
      </w:r>
      <w:hyperlink r:id="rId21">
        <w:r>
          <w:rPr>
            <w:rStyle w:val="Hyperlink"/>
          </w:rPr>
          <w:t xml:space="preserve">[1]</w:t>
        </w:r>
      </w:hyperlink>
    </w:p>
    <w:p>
      <w:pPr>
        <w:pStyle w:val="BodyText"/>
      </w:pPr>
      <w:r>
        <w:t xml:space="preserve">Andrew Lo’s</w:t>
      </w:r>
      <w:r>
        <w:t xml:space="preserve"> </w:t>
      </w:r>
      <w:r>
        <w:rPr>
          <w:b/>
          <w:bCs/>
        </w:rPr>
        <w:t xml:space="preserve">Adaptive Markets Hypothesis (AMH)</w:t>
      </w:r>
      <w:r>
        <w:t xml:space="preserve"> </w:t>
      </w:r>
      <w:r>
        <w:t xml:space="preserve">is a useful mental model for this particular project:</w:t>
      </w:r>
      <w:r>
        <w:t xml:space="preserve"> </w:t>
      </w:r>
      <w:r>
        <w:rPr>
          <w:b/>
          <w:bCs/>
        </w:rPr>
        <w:t xml:space="preserve">efficiency is not a permanent state</w:t>
      </w:r>
      <w:r>
        <w:t xml:space="preserve">; it depends on the “ecology” of participants and competition, so edges tend to</w:t>
      </w:r>
      <w:r>
        <w:t xml:space="preserve"> </w:t>
      </w:r>
      <w:r>
        <w:rPr>
          <w:b/>
          <w:bCs/>
        </w:rPr>
        <w:t xml:space="preserve">appear, weaken, migrate, and die</w:t>
      </w:r>
      <w:r>
        <w:t xml:space="preserve"> </w:t>
      </w:r>
      <w:r>
        <w:t xml:space="preserve">as conditions change.</w:t>
      </w:r>
      <w:r>
        <w:t xml:space="preserve"> </w:t>
      </w:r>
      <w:hyperlink r:id="rId22">
        <w:r>
          <w:rPr>
            <w:rStyle w:val="Hyperlink"/>
          </w:rPr>
          <w:t xml:space="preserve">[2]</w:t>
        </w:r>
      </w:hyperlink>
    </w:p>
    <w:p>
      <w:pPr>
        <w:pStyle w:val="BodyText"/>
      </w:pPr>
      <w:r>
        <w:t xml:space="preserve">Two implications matter immediately for your stated setup:</w:t>
      </w:r>
    </w:p>
    <w:p>
      <w:pPr>
        <w:pStyle w:val="BodyText"/>
      </w:pPr>
      <w:r>
        <w:t xml:space="preserve">First,</w:t>
      </w:r>
      <w:r>
        <w:t xml:space="preserve"> </w:t>
      </w:r>
      <w:r>
        <w:rPr>
          <w:b/>
          <w:bCs/>
        </w:rPr>
        <w:t xml:space="preserve">single-stock daily prediction is an extremely high-noise task</w:t>
      </w:r>
      <w:r>
        <w:t xml:space="preserve">, especially in a large, heavily followed name—exactly the kind of “many competitors chasing scarce profits” environment where AMH predicts fewer persistent inefficiencies.</w:t>
      </w:r>
      <w:r>
        <w:t xml:space="preserve"> </w:t>
      </w:r>
      <w:hyperlink r:id="rId22">
        <w:r>
          <w:rPr>
            <w:rStyle w:val="Hyperlink"/>
          </w:rPr>
          <w:t xml:space="preserve">[3]</w:t>
        </w:r>
      </w:hyperlink>
    </w:p>
    <w:p>
      <w:pPr>
        <w:pStyle w:val="BodyText"/>
      </w:pPr>
      <w:r>
        <w:t xml:space="preserve">Second,</w:t>
      </w:r>
      <w:r>
        <w:t xml:space="preserve"> </w:t>
      </w:r>
      <w:r>
        <w:rPr>
          <w:b/>
          <w:bCs/>
        </w:rPr>
        <w:t xml:space="preserve">332 signals + a ~1,700 trading-day sample</w:t>
      </w:r>
      <w:r>
        <w:t xml:space="preserve"> </w:t>
      </w:r>
      <w:r>
        <w:t xml:space="preserve">is almost tailor-made for false discoveries unless you treat multiple testing, leakage, and overfitting as first-class engineering requirements (not “afterthought statistics”). The finance literature is full of examples where relationships reliably “worked in-sample and never out-of-sample.”</w:t>
      </w:r>
      <w:r>
        <w:t xml:space="preserve"> </w:t>
      </w:r>
      <w:hyperlink r:id="rId23">
        <w:r>
          <w:rPr>
            <w:rStyle w:val="Hyperlink"/>
          </w:rPr>
          <w:t xml:space="preserve">[4]</w:t>
        </w:r>
      </w:hyperlink>
    </w:p>
    <w:bookmarkEnd w:id="24"/>
    <w:bookmarkStart w:id="45" w:name="X8efe4008a03ad402c20e0e33eaeacd49ebc366d"/>
    <w:p>
      <w:pPr>
        <w:pStyle w:val="Heading2"/>
      </w:pPr>
      <w:r>
        <w:t xml:space="preserve">Signal viability and information advantage</w:t>
      </w:r>
    </w:p>
    <w:bookmarkStart w:id="34" w:name="Xa3ce11e8f8c23c5e6d21364ab8d035680af08a1"/>
    <w:p>
      <w:pPr>
        <w:pStyle w:val="Heading3"/>
      </w:pPr>
      <w:r>
        <w:t xml:space="preserve">Do free public alternative data sources contain genuine predictive alpha?</w:t>
      </w:r>
    </w:p>
    <w:p>
      <w:pPr>
        <w:pStyle w:val="FirstParagraph"/>
      </w:pPr>
      <w:r>
        <w:t xml:space="preserve">The academically defensible answer is “</w:t>
      </w:r>
      <w:r>
        <w:rPr>
          <w:b/>
          <w:bCs/>
        </w:rPr>
        <w:t xml:space="preserve">sometimes yes</w:t>
      </w:r>
      <w:r>
        <w:t xml:space="preserve">, but (a) the effect sizes are usually small, (b) the horizon matters, (c) the strongest results are often cross-sectional, not single-name time-series, and (d) many ‘alternative’ datasets used in published research are not truly ‘free public’ once you look at what the authors had.”</w:t>
      </w:r>
      <w:r>
        <w:t xml:space="preserve"> </w:t>
      </w:r>
      <w:hyperlink r:id="rId25">
        <w:r>
          <w:rPr>
            <w:rStyle w:val="Hyperlink"/>
          </w:rPr>
          <w:t xml:space="preserve">[5]</w:t>
        </w:r>
      </w:hyperlink>
    </w:p>
    <w:p>
      <w:pPr>
        <w:pStyle w:val="BodyText"/>
      </w:pPr>
      <w:r>
        <w:t xml:space="preserve">Evidence that</w:t>
      </w:r>
      <w:r>
        <w:t xml:space="preserve"> </w:t>
      </w:r>
      <w:r>
        <w:rPr>
          <w:i/>
          <w:iCs/>
        </w:rPr>
        <w:t xml:space="preserve">some</w:t>
      </w:r>
      <w:r>
        <w:t xml:space="preserve"> </w:t>
      </w:r>
      <w:r>
        <w:t xml:space="preserve">public/near-public “alternative” categories can predict returns:</w:t>
      </w:r>
    </w:p>
    <w:p>
      <w:pPr>
        <w:pStyle w:val="BodyText"/>
      </w:pPr>
      <w:r>
        <w:rPr>
          <w:b/>
          <w:bCs/>
        </w:rPr>
        <w:t xml:space="preserve">Insider transactions (SEC Forms 4/3/5)</w:t>
      </w:r>
      <w:r>
        <w:t xml:space="preserve">: The SEC explicitly states</w:t>
      </w:r>
      <w:r>
        <w:t xml:space="preserve"> </w:t>
      </w:r>
      <w:r>
        <w:rPr>
          <w:b/>
          <w:bCs/>
        </w:rPr>
        <w:t xml:space="preserve">Form 4 must be filed within two business days</w:t>
      </w:r>
      <w:r>
        <w:t xml:space="preserve"> </w:t>
      </w:r>
      <w:r>
        <w:t xml:space="preserve">after the transaction, meaning this data is “public,” but not instant.</w:t>
      </w:r>
      <w:r>
        <w:t xml:space="preserve"> </w:t>
      </w:r>
      <w:hyperlink r:id="rId26">
        <w:r>
          <w:rPr>
            <w:rStyle w:val="Hyperlink"/>
          </w:rPr>
          <w:t xml:space="preserve">[6]</w:t>
        </w:r>
      </w:hyperlink>
      <w:r>
        <w:br/>
      </w:r>
      <w:r>
        <w:t xml:space="preserve">A classic insider-trading profitability study (Jeng–Metrick–Zeckhauser) constructs rolling portfolios of insider purchases and finds the</w:t>
      </w:r>
      <w:r>
        <w:t xml:space="preserve"> </w:t>
      </w:r>
      <w:r>
        <w:rPr>
          <w:b/>
          <w:bCs/>
        </w:rPr>
        <w:t xml:space="preserve">purchase portfolio earns abnormal returns of ~40 basis points per month</w:t>
      </w:r>
      <w:r>
        <w:t xml:space="preserve">, with</w:t>
      </w:r>
      <w:r>
        <w:t xml:space="preserve"> </w:t>
      </w:r>
      <w:r>
        <w:rPr>
          <w:b/>
          <w:bCs/>
        </w:rPr>
        <w:t xml:space="preserve">~1/6 of abnormal returns accruing within the first five days</w:t>
      </w:r>
      <w:r>
        <w:t xml:space="preserve"> </w:t>
      </w:r>
      <w:r>
        <w:t xml:space="preserve">and</w:t>
      </w:r>
      <w:r>
        <w:t xml:space="preserve"> </w:t>
      </w:r>
      <w:r>
        <w:rPr>
          <w:b/>
          <w:bCs/>
        </w:rPr>
        <w:t xml:space="preserve">~1/3 within the first month</w:t>
      </w:r>
      <w:r>
        <w:t xml:space="preserve"> </w:t>
      </w:r>
      <w:r>
        <w:t xml:space="preserve">after the transaction, while the sale portfolio does not earn abnormal returns.</w:t>
      </w:r>
      <w:r>
        <w:t xml:space="preserve"> </w:t>
      </w:r>
      <w:hyperlink r:id="rId27">
        <w:r>
          <w:rPr>
            <w:rStyle w:val="Hyperlink"/>
          </w:rPr>
          <w:t xml:space="preserve">[7]</w:t>
        </w:r>
      </w:hyperlink>
      <w:r>
        <w:br/>
      </w:r>
      <w:r>
        <w:t xml:space="preserve">Interpretation for you: this category has real academic support that “insider buying” contains information with</w:t>
      </w:r>
      <w:r>
        <w:t xml:space="preserve"> </w:t>
      </w:r>
      <w:r>
        <w:rPr>
          <w:b/>
          <w:bCs/>
        </w:rPr>
        <w:t xml:space="preserve">multi-day to multi-week drift</w:t>
      </w:r>
      <w:r>
        <w:t xml:space="preserve">, which is compatible with daily data—</w:t>
      </w:r>
      <w:r>
        <w:rPr>
          <w:i/>
          <w:iCs/>
        </w:rPr>
        <w:t xml:space="preserve">but</w:t>
      </w:r>
      <w:r>
        <w:t xml:space="preserve"> </w:t>
      </w:r>
      <w:r>
        <w:t xml:space="preserve">it is historically sample-wide and may be weaker in modern large caps.</w:t>
      </w:r>
    </w:p>
    <w:p>
      <w:pPr>
        <w:pStyle w:val="BodyText"/>
      </w:pPr>
      <w:r>
        <w:rPr>
          <w:b/>
          <w:bCs/>
        </w:rPr>
        <w:t xml:space="preserve">Options activity / “options flow”</w:t>
      </w:r>
      <w:r>
        <w:t xml:space="preserve">: Jun Pan and Allen Poteshman show strong evidence that option volume contains information about future stock prices: in their sample, stocks with “positive option signals” outperform “negative option signals” by</w:t>
      </w:r>
      <w:r>
        <w:t xml:space="preserve"> </w:t>
      </w:r>
      <w:r>
        <w:rPr>
          <w:b/>
          <w:bCs/>
        </w:rPr>
        <w:t xml:space="preserve">&gt;40 bps/day and ~1%/week (risk-adjusted)</w:t>
      </w:r>
      <w:r>
        <w:t xml:space="preserve">, and the predictability</w:t>
      </w:r>
      <w:r>
        <w:t xml:space="preserve"> </w:t>
      </w:r>
      <w:r>
        <w:rPr>
          <w:b/>
          <w:bCs/>
        </w:rPr>
        <w:t xml:space="preserve">dies out over several weeks</w:t>
      </w:r>
      <w:r>
        <w:t xml:space="preserve">, consistent with gradual incorporation.</w:t>
      </w:r>
      <w:r>
        <w:t xml:space="preserve"> </w:t>
      </w:r>
      <w:hyperlink r:id="rId28">
        <w:r>
          <w:rPr>
            <w:rStyle w:val="Hyperlink"/>
          </w:rPr>
          <w:t xml:space="preserve">[8]</w:t>
        </w:r>
      </w:hyperlink>
      <w:r>
        <w:br/>
      </w:r>
      <w:r>
        <w:t xml:space="preserve">However, there’s a brutal catch for your</w:t>
      </w:r>
      <w:r>
        <w:t xml:space="preserve"> </w:t>
      </w:r>
      <w:r>
        <w:rPr>
          <w:i/>
          <w:iCs/>
        </w:rPr>
        <w:t xml:space="preserve">free public</w:t>
      </w:r>
      <w:r>
        <w:t xml:space="preserve"> </w:t>
      </w:r>
      <w:r>
        <w:t xml:space="preserve">constraint: they emphasize their main signal uses</w:t>
      </w:r>
      <w:r>
        <w:t xml:space="preserve"> </w:t>
      </w:r>
      <w:r>
        <w:rPr>
          <w:b/>
          <w:bCs/>
        </w:rPr>
        <w:t xml:space="preserve">buyer-initiated volume to open new option positions</w:t>
      </w:r>
      <w:r>
        <w:t xml:space="preserve">, which they note is</w:t>
      </w:r>
      <w:r>
        <w:t xml:space="preserve"> </w:t>
      </w:r>
      <w:r>
        <w:rPr>
          <w:b/>
          <w:bCs/>
        </w:rPr>
        <w:t xml:space="preserve">not publicly observable</w:t>
      </w:r>
      <w:r>
        <w:t xml:space="preserve"> </w:t>
      </w:r>
      <w:r>
        <w:t xml:space="preserve">in standard public data.</w:t>
      </w:r>
      <w:r>
        <w:t xml:space="preserve"> </w:t>
      </w:r>
      <w:hyperlink r:id="rId28">
        <w:r>
          <w:rPr>
            <w:rStyle w:val="Hyperlink"/>
          </w:rPr>
          <w:t xml:space="preserve">[8]</w:t>
        </w:r>
      </w:hyperlink>
      <w:r>
        <w:br/>
      </w:r>
      <w:r>
        <w:t xml:space="preserve">Interpretation: “options flow alpha” is academically real</w:t>
      </w:r>
      <w:r>
        <w:t xml:space="preserve"> </w:t>
      </w:r>
      <w:r>
        <w:rPr>
          <w:i/>
          <w:iCs/>
        </w:rPr>
        <w:t xml:space="preserve">in principle</w:t>
      </w:r>
      <w:r>
        <w:t xml:space="preserve">, but the strongest versions typically rely on</w:t>
      </w:r>
      <w:r>
        <w:t xml:space="preserve"> </w:t>
      </w:r>
      <w:r>
        <w:rPr>
          <w:b/>
          <w:bCs/>
        </w:rPr>
        <w:t xml:space="preserve">microstructure-level datasets</w:t>
      </w:r>
      <w:r>
        <w:t xml:space="preserve"> </w:t>
      </w:r>
      <w:r>
        <w:t xml:space="preserve">or vendor feeds that retail usually does not have.</w:t>
      </w:r>
    </w:p>
    <w:p>
      <w:pPr>
        <w:pStyle w:val="BodyText"/>
      </w:pPr>
      <w:r>
        <w:rPr>
          <w:b/>
          <w:bCs/>
        </w:rPr>
        <w:t xml:space="preserve">Investor attention proxies (Google search / Google Trends)</w:t>
      </w:r>
      <w:r>
        <w:t xml:space="preserve">: Da–Engelberg–Gao propose Google Search Volume Index as a direct attention measure and find that an increase in SVI predicts</w:t>
      </w:r>
      <w:r>
        <w:t xml:space="preserve"> </w:t>
      </w:r>
      <w:r>
        <w:rPr>
          <w:b/>
          <w:bCs/>
        </w:rPr>
        <w:t xml:space="preserve">higher stock prices in the next ~2 weeks</w:t>
      </w:r>
      <w:r>
        <w:t xml:space="preserve"> </w:t>
      </w:r>
      <w:r>
        <w:t xml:space="preserve">followed by a longer-term reversal within the year (consistent with attention-driven price pressure).</w:t>
      </w:r>
      <w:r>
        <w:t xml:space="preserve"> </w:t>
      </w:r>
      <w:hyperlink r:id="rId29">
        <w:r>
          <w:rPr>
            <w:rStyle w:val="Hyperlink"/>
          </w:rPr>
          <w:t xml:space="preserve">[9]</w:t>
        </w:r>
      </w:hyperlink>
      <w:r>
        <w:br/>
      </w:r>
      <w:r>
        <w:t xml:space="preserve">Interpretation: this is a serious, widely cited result supporting predictive content, but it often behaves like a</w:t>
      </w:r>
      <w:r>
        <w:t xml:space="preserve"> </w:t>
      </w:r>
      <w:r>
        <w:rPr>
          <w:b/>
          <w:bCs/>
        </w:rPr>
        <w:t xml:space="preserve">short-horizon attention effect</w:t>
      </w:r>
      <w:r>
        <w:t xml:space="preserve"> </w:t>
      </w:r>
      <w:r>
        <w:t xml:space="preserve">rather than stable “fundamental alpha,” and is plausibly sensitive to crowding.</w:t>
      </w:r>
    </w:p>
    <w:p>
      <w:pPr>
        <w:pStyle w:val="BodyText"/>
      </w:pPr>
      <w:r>
        <w:rPr>
          <w:b/>
          <w:bCs/>
        </w:rPr>
        <w:t xml:space="preserve">Textual signals from SEC filings / disclosures</w:t>
      </w:r>
      <w:r>
        <w:t xml:space="preserve">: Loughran–McDonald show that generic sentiment dictionaries misclassify financial text and build finance-specific word lists, linking textual measures to market variables including</w:t>
      </w:r>
      <w:r>
        <w:t xml:space="preserve"> </w:t>
      </w:r>
      <w:r>
        <w:rPr>
          <w:b/>
          <w:bCs/>
        </w:rPr>
        <w:t xml:space="preserve">10-K filing returns, volume, and volatility</w:t>
      </w:r>
      <w:r>
        <w:t xml:space="preserve"> </w:t>
      </w:r>
      <w:r>
        <w:t xml:space="preserve">(and related outcomes).</w:t>
      </w:r>
      <w:r>
        <w:t xml:space="preserve"> </w:t>
      </w:r>
      <w:hyperlink r:id="rId30">
        <w:r>
          <w:rPr>
            <w:rStyle w:val="Hyperlink"/>
          </w:rPr>
          <w:t xml:space="preserve">[10]</w:t>
        </w:r>
      </w:hyperlink>
      <w:r>
        <w:br/>
      </w:r>
      <w:r>
        <w:t xml:space="preserve">Interpretation: “EDGAR text” can matter, but for a single large cap, expect the immediate reaction to the filing itself to be fast; any remaining edge is more likely in</w:t>
      </w:r>
      <w:r>
        <w:t xml:space="preserve"> </w:t>
      </w:r>
      <w:r>
        <w:rPr>
          <w:b/>
          <w:bCs/>
        </w:rPr>
        <w:t xml:space="preserve">slow-to-digest components</w:t>
      </w:r>
      <w:r>
        <w:t xml:space="preserve"> </w:t>
      </w:r>
      <w:r>
        <w:t xml:space="preserve">(language changes, risk-factor nuance) than in headline numbers.</w:t>
      </w:r>
    </w:p>
    <w:p>
      <w:pPr>
        <w:pStyle w:val="BodyText"/>
      </w:pPr>
      <w:r>
        <w:rPr>
          <w:b/>
          <w:bCs/>
        </w:rPr>
        <w:t xml:space="preserve">Media/news sentiment</w:t>
      </w:r>
      <w:r>
        <w:t xml:space="preserve">: Tetlock (2007) finds that high media pessimism predicts</w:t>
      </w:r>
      <w:r>
        <w:t xml:space="preserve"> </w:t>
      </w:r>
      <w:r>
        <w:rPr>
          <w:b/>
          <w:bCs/>
        </w:rPr>
        <w:t xml:space="preserve">downward pressure</w:t>
      </w:r>
      <w:r>
        <w:t xml:space="preserve"> </w:t>
      </w:r>
      <w:r>
        <w:t xml:space="preserve">on market prices followed by reversion, and relates sentiment to trading volume.</w:t>
      </w:r>
      <w:r>
        <w:t xml:space="preserve"> </w:t>
      </w:r>
      <w:hyperlink r:id="rId31">
        <w:r>
          <w:rPr>
            <w:rStyle w:val="Hyperlink"/>
          </w:rPr>
          <w:t xml:space="preserve">[11]</w:t>
        </w:r>
      </w:hyperlink>
      <w:r>
        <w:br/>
      </w:r>
      <w:r>
        <w:t xml:space="preserve">Interpretation: predictive relationships exist, but they’re often</w:t>
      </w:r>
      <w:r>
        <w:t xml:space="preserve"> </w:t>
      </w:r>
      <w:r>
        <w:rPr>
          <w:b/>
          <w:bCs/>
        </w:rPr>
        <w:t xml:space="preserve">fragile</w:t>
      </w:r>
      <w:r>
        <w:t xml:space="preserve">, regime-dependent, and easy to data-snoop.</w:t>
      </w:r>
    </w:p>
    <w:p>
      <w:pPr>
        <w:pStyle w:val="BodyText"/>
      </w:pPr>
      <w:r>
        <w:rPr>
          <w:b/>
          <w:bCs/>
        </w:rPr>
        <w:t xml:space="preserve">Job postings / labor-market alternative data</w:t>
      </w:r>
      <w:r>
        <w:t xml:space="preserve">: Recent research using massive job-posting datasets finds investor underreaction to labor-linked information. Liu &amp; Wu (2025) build a labor-link network from online job postings and report predictable subsequent returns; a long–short strategy exploiting the delay generates an</w:t>
      </w:r>
      <w:r>
        <w:t xml:space="preserve"> </w:t>
      </w:r>
      <w:r>
        <w:rPr>
          <w:b/>
          <w:bCs/>
        </w:rPr>
        <w:t xml:space="preserve">average annualized excess return of ~9%</w:t>
      </w:r>
      <w:r>
        <w:t xml:space="preserve">.</w:t>
      </w:r>
      <w:r>
        <w:t xml:space="preserve"> </w:t>
      </w:r>
      <w:hyperlink r:id="rId32">
        <w:r>
          <w:rPr>
            <w:rStyle w:val="Hyperlink"/>
          </w:rPr>
          <w:t xml:space="preserve">[12]</w:t>
        </w:r>
      </w:hyperlink>
      <w:r>
        <w:br/>
      </w:r>
      <w:r>
        <w:t xml:space="preserve">Interpretation: job-posting signals can encode real economic linkages that investors incorporate slowly—but note that these studies often rely on</w:t>
      </w:r>
      <w:r>
        <w:t xml:space="preserve"> </w:t>
      </w:r>
      <w:r>
        <w:rPr>
          <w:b/>
          <w:bCs/>
        </w:rPr>
        <w:t xml:space="preserve">large-scale job-posting databases</w:t>
      </w:r>
      <w:r>
        <w:t xml:space="preserve"> </w:t>
      </w:r>
      <w:r>
        <w:t xml:space="preserve">(not “free” in practice) and are typically cross-sectional.</w:t>
      </w:r>
    </w:p>
    <w:p>
      <w:pPr>
        <w:pStyle w:val="BodyText"/>
      </w:pPr>
      <w:r>
        <w:rPr>
          <w:b/>
          <w:bCs/>
        </w:rPr>
        <w:t xml:space="preserve">App usage / app performance signals</w:t>
      </w:r>
      <w:r>
        <w:t xml:space="preserve">: A paper using app market usage finds that</w:t>
      </w:r>
      <w:r>
        <w:t xml:space="preserve"> </w:t>
      </w:r>
      <w:r>
        <w:rPr>
          <w:b/>
          <w:bCs/>
        </w:rPr>
        <w:t xml:space="preserve">monthly abnormal app downloads and abnormal daily users</w:t>
      </w:r>
      <w:r>
        <w:t xml:space="preserve"> </w:t>
      </w:r>
      <w:r>
        <w:t xml:space="preserve">are positively associated with</w:t>
      </w:r>
      <w:r>
        <w:t xml:space="preserve"> </w:t>
      </w:r>
      <w:r>
        <w:rPr>
          <w:b/>
          <w:bCs/>
        </w:rPr>
        <w:t xml:space="preserve">next-month abnormal stock returns</w:t>
      </w:r>
      <w:r>
        <w:t xml:space="preserve">.</w:t>
      </w:r>
      <w:r>
        <w:t xml:space="preserve"> </w:t>
      </w:r>
      <w:hyperlink r:id="rId33">
        <w:r>
          <w:rPr>
            <w:rStyle w:val="Hyperlink"/>
          </w:rPr>
          <w:t xml:space="preserve">[13]</w:t>
        </w:r>
      </w:hyperlink>
      <w:r>
        <w:br/>
      </w:r>
      <w:r>
        <w:t xml:space="preserve">Interpretation: “app-store metrics” can be predictive, but the strongest signals usually require download/DAU estimates (often vendor-derived). Free</w:t>
      </w:r>
      <w:r>
        <w:t xml:space="preserve"> </w:t>
      </w:r>
      <w:r>
        <w:rPr>
          <w:b/>
          <w:bCs/>
        </w:rPr>
        <w:t xml:space="preserve">rankings</w:t>
      </w:r>
      <w:r>
        <w:t xml:space="preserve"> </w:t>
      </w:r>
      <w:r>
        <w:t xml:space="preserve">may be a noisy proxy.</w:t>
      </w:r>
    </w:p>
    <w:bookmarkEnd w:id="34"/>
    <w:bookmarkStart w:id="38" w:name="X95082bb52171ac764fd6d45e5a7d6b2fb5e030d"/>
    <w:p>
      <w:pPr>
        <w:pStyle w:val="Heading3"/>
      </w:pPr>
      <w:r>
        <w:t xml:space="preserve">Is this information already efficiently priced in by institutional participants?</w:t>
      </w:r>
    </w:p>
    <w:p>
      <w:pPr>
        <w:pStyle w:val="FirstParagraph"/>
      </w:pPr>
      <w:r>
        <w:t xml:space="preserve">A cynical but broadly accurate view among top quants is:</w:t>
      </w:r>
      <w:r>
        <w:t xml:space="preserve"> </w:t>
      </w:r>
      <w:r>
        <w:rPr>
          <w:b/>
          <w:bCs/>
        </w:rPr>
        <w:t xml:space="preserve">public data is rarely “unused”; the edge is in processing, scale, and execution</w:t>
      </w:r>
      <w:r>
        <w:t xml:space="preserve">.</w:t>
      </w:r>
    </w:p>
    <w:p>
      <w:pPr>
        <w:pStyle w:val="BodyText"/>
      </w:pPr>
      <w:r>
        <w:t xml:space="preserve">Institutions do not just have “the same data earlier.” They often have: (i)</w:t>
      </w:r>
      <w:r>
        <w:t xml:space="preserve"> </w:t>
      </w:r>
      <w:r>
        <w:rPr>
          <w:b/>
          <w:bCs/>
        </w:rPr>
        <w:t xml:space="preserve">cleaned and survivorship-free history</w:t>
      </w:r>
      <w:r>
        <w:t xml:space="preserve">, (ii) better entity resolution (mapping executives, subsidiaries, app identifiers, etc.), (iii) faster ingestion, and (iv) teams that can run</w:t>
      </w:r>
      <w:r>
        <w:t xml:space="preserve"> </w:t>
      </w:r>
      <w:r>
        <w:rPr>
          <w:b/>
          <w:bCs/>
        </w:rPr>
        <w:t xml:space="preserve">hundreds of variations</w:t>
      </w:r>
      <w:r>
        <w:t xml:space="preserve"> </w:t>
      </w:r>
      <w:r>
        <w:t xml:space="preserve">quickly (which ironically increases their own data-mining risk—hence their obsession with robust validation).</w:t>
      </w:r>
      <w:r>
        <w:t xml:space="preserve"> </w:t>
      </w:r>
      <w:hyperlink r:id="rId35">
        <w:r>
          <w:rPr>
            <w:rStyle w:val="Hyperlink"/>
          </w:rPr>
          <w:t xml:space="preserve">[14]</w:t>
        </w:r>
      </w:hyperlink>
    </w:p>
    <w:p>
      <w:pPr>
        <w:pStyle w:val="BodyText"/>
      </w:pPr>
      <w:r>
        <w:t xml:space="preserve">On the “speed” question specifically:</w:t>
      </w:r>
    </w:p>
    <w:p>
      <w:pPr>
        <w:pStyle w:val="BodyText"/>
      </w:pPr>
      <w:r>
        <w:t xml:space="preserve">Public data can still be distributed unevenly (even seconds matter at very short horizons): historical reporting describes “fast traders” getting SEC data ahead of others.</w:t>
      </w:r>
      <w:r>
        <w:t xml:space="preserve"> </w:t>
      </w:r>
      <w:hyperlink r:id="rId36">
        <w:r>
          <w:rPr>
            <w:rStyle w:val="Hyperlink"/>
          </w:rPr>
          <w:t xml:space="preserve">[15]</w:t>
        </w:r>
      </w:hyperlink>
      <w:r>
        <w:br/>
      </w:r>
      <w:r>
        <w:t xml:space="preserve">Meanwhile, research on low-latency activity suggests fast trading can improve price efficiency around news events (i.e., compress the window where naïve humans can react).</w:t>
      </w:r>
      <w:r>
        <w:t xml:space="preserve"> </w:t>
      </w:r>
      <w:hyperlink r:id="rId37">
        <w:r>
          <w:rPr>
            <w:rStyle w:val="Hyperlink"/>
          </w:rPr>
          <w:t xml:space="preserve">[16]</w:t>
        </w:r>
      </w:hyperlink>
    </w:p>
    <w:p>
      <w:pPr>
        <w:pStyle w:val="BodyText"/>
      </w:pPr>
      <w:r>
        <w:t xml:space="preserve">So for</w:t>
      </w:r>
      <w:r>
        <w:t xml:space="preserve"> </w:t>
      </w:r>
      <w:r>
        <w:rPr>
          <w:b/>
          <w:bCs/>
        </w:rPr>
        <w:t xml:space="preserve">hour-to-minute horizons</w:t>
      </w:r>
      <w:r>
        <w:t xml:space="preserve">, retail is usually dead on arrival. For</w:t>
      </w:r>
      <w:r>
        <w:t xml:space="preserve"> </w:t>
      </w:r>
      <w:r>
        <w:rPr>
          <w:b/>
          <w:bCs/>
        </w:rPr>
        <w:t xml:space="preserve">daily-to-weekly horizons</w:t>
      </w:r>
      <w:r>
        <w:t xml:space="preserve">, speed disadvantages shrink, and the question becomes:</w:t>
      </w:r>
      <w:r>
        <w:t xml:space="preserve"> </w:t>
      </w:r>
      <w:r>
        <w:rPr>
          <w:i/>
          <w:iCs/>
        </w:rPr>
        <w:t xml:space="preserve">what slow component of information processing or constraints is not fully arbitraged?</w:t>
      </w:r>
    </w:p>
    <w:p>
      <w:pPr>
        <w:pStyle w:val="BodyText"/>
      </w:pPr>
      <w:r>
        <w:t xml:space="preserve">The insider-trading study result is a concrete example of delayed incorporation: only a fraction of abnormal returns arrives in the first week; a meaningful portion arrives over the first month.</w:t>
      </w:r>
      <w:r>
        <w:t xml:space="preserve"> </w:t>
      </w:r>
      <w:hyperlink r:id="rId27">
        <w:r>
          <w:rPr>
            <w:rStyle w:val="Hyperlink"/>
          </w:rPr>
          <w:t xml:space="preserve">[7]</w:t>
        </w:r>
      </w:hyperlink>
      <w:r>
        <w:br/>
      </w:r>
      <w:r>
        <w:t xml:space="preserve">Similarly, labor-link predictability explicitly attributes returns to investors “not promptly incorporat[ing]” labor-linked news.</w:t>
      </w:r>
      <w:r>
        <w:t xml:space="preserve"> </w:t>
      </w:r>
      <w:hyperlink r:id="rId32">
        <w:r>
          <w:rPr>
            <w:rStyle w:val="Hyperlink"/>
          </w:rPr>
          <w:t xml:space="preserve">[12]</w:t>
        </w:r>
      </w:hyperlink>
      <w:r>
        <w:br/>
      </w:r>
      <w:r>
        <w:t xml:space="preserve">These are mechanisms consistent with “not everything is instantly priced” even when the raw input is public.</w:t>
      </w:r>
    </w:p>
    <w:bookmarkEnd w:id="38"/>
    <w:bookmarkStart w:id="42" w:name="X3d046464e14eae3a29ca7c7db111bf30ea6a61a"/>
    <w:p>
      <w:pPr>
        <w:pStyle w:val="Heading3"/>
      </w:pPr>
      <w:r>
        <w:t xml:space="preserve">Which alternative data categories have the best evidence of durable alpha?</w:t>
      </w:r>
    </w:p>
    <w:p>
      <w:pPr>
        <w:pStyle w:val="FirstParagraph"/>
      </w:pPr>
      <w:r>
        <w:t xml:space="preserve">Here “durable” needs precision. Many predictors show historical significance but weaken once discovered or crowded. McLean &amp; Pontiff (2016) find that published predictors’ long–short returns shrink substantially: the</w:t>
      </w:r>
      <w:r>
        <w:t xml:space="preserve"> </w:t>
      </w:r>
      <w:r>
        <w:rPr>
          <w:b/>
          <w:bCs/>
        </w:rPr>
        <w:t xml:space="preserve">average predictor’s long–short return shrinks ~58% post-publication</w:t>
      </w:r>
      <w:r>
        <w:t xml:space="preserve"> </w:t>
      </w:r>
      <w:r>
        <w:t xml:space="preserve">(and they estimate a material part of the decay is due to investors learning/trading on it).</w:t>
      </w:r>
      <w:r>
        <w:t xml:space="preserve"> </w:t>
      </w:r>
      <w:hyperlink r:id="rId39">
        <w:r>
          <w:rPr>
            <w:rStyle w:val="Hyperlink"/>
          </w:rPr>
          <w:t xml:space="preserve">[17]</w:t>
        </w:r>
      </w:hyperlink>
      <w:r>
        <w:br/>
      </w:r>
      <w:r>
        <w:t xml:space="preserve">A broader international analysis motivated by the same question finds the</w:t>
      </w:r>
      <w:r>
        <w:t xml:space="preserve"> </w:t>
      </w:r>
      <w:r>
        <w:rPr>
          <w:b/>
          <w:bCs/>
        </w:rPr>
        <w:t xml:space="preserve">U.S. is uniquely associated with reliable post-publication declines</w:t>
      </w:r>
      <w:r>
        <w:t xml:space="preserve">, consistent with a very competitive arbitrage environment.</w:t>
      </w:r>
      <w:r>
        <w:t xml:space="preserve"> </w:t>
      </w:r>
      <w:hyperlink r:id="rId40">
        <w:r>
          <w:rPr>
            <w:rStyle w:val="Hyperlink"/>
          </w:rPr>
          <w:t xml:space="preserve">[18]</w:t>
        </w:r>
      </w:hyperlink>
    </w:p>
    <w:p>
      <w:pPr>
        <w:pStyle w:val="BodyText"/>
      </w:pPr>
      <w:r>
        <w:t xml:space="preserve">So “durability” is usually highest when the signal is tied to something hard to arbitrage (capacity constraints, trading frictions, institutional restrictions, or complex processing), consistent with “limits of arbitrage.”</w:t>
      </w:r>
      <w:r>
        <w:t xml:space="preserve"> </w:t>
      </w:r>
      <w:hyperlink r:id="rId41">
        <w:r>
          <w:rPr>
            <w:rStyle w:val="Hyperlink"/>
          </w:rPr>
          <w:t xml:space="preserve">[19]</w:t>
        </w:r>
      </w:hyperlink>
    </w:p>
    <w:p>
      <w:pPr>
        <w:pStyle w:val="BodyText"/>
      </w:pPr>
      <w:r>
        <w:t xml:space="preserve">Within your listed categories, the strongest academically supported buckets (with caveats) look like:</w:t>
      </w:r>
    </w:p>
    <w:p>
      <w:pPr>
        <w:pStyle w:val="BodyText"/>
      </w:pPr>
      <w:r>
        <w:t xml:space="preserve">Insider buying signals derived from Form 4-type data show abnormal returns on the order of</w:t>
      </w:r>
      <w:r>
        <w:t xml:space="preserve"> </w:t>
      </w:r>
      <w:r>
        <w:rPr>
          <w:b/>
          <w:bCs/>
        </w:rPr>
        <w:t xml:space="preserve">tens of basis points per month</w:t>
      </w:r>
      <w:r>
        <w:t xml:space="preserve"> </w:t>
      </w:r>
      <w:r>
        <w:t xml:space="preserve">in broad samples.</w:t>
      </w:r>
      <w:r>
        <w:t xml:space="preserve"> </w:t>
      </w:r>
      <w:hyperlink r:id="rId27">
        <w:r>
          <w:rPr>
            <w:rStyle w:val="Hyperlink"/>
          </w:rPr>
          <w:t xml:space="preserve">[7]</w:t>
        </w:r>
      </w:hyperlink>
      <w:r>
        <w:br/>
      </w:r>
      <w:r>
        <w:t xml:space="preserve">Options-activity signals can be powerful in studies, but the most informative versions often rely on non-free microstructure classifications.</w:t>
      </w:r>
      <w:r>
        <w:t xml:space="preserve"> </w:t>
      </w:r>
      <w:hyperlink r:id="rId28">
        <w:r>
          <w:rPr>
            <w:rStyle w:val="Hyperlink"/>
          </w:rPr>
          <w:t xml:space="preserve">[8]</w:t>
        </w:r>
      </w:hyperlink>
      <w:r>
        <w:br/>
      </w:r>
      <w:r>
        <w:t xml:space="preserve">Attention and sentiment signals exist, but tend to be</w:t>
      </w:r>
      <w:r>
        <w:t xml:space="preserve"> </w:t>
      </w:r>
      <w:r>
        <w:rPr>
          <w:b/>
          <w:bCs/>
        </w:rPr>
        <w:t xml:space="preserve">short-horizon and regime-sensitive</w:t>
      </w:r>
      <w:r>
        <w:t xml:space="preserve"> </w:t>
      </w:r>
      <w:r>
        <w:t xml:space="preserve">and are likely more crowded.</w:t>
      </w:r>
      <w:r>
        <w:t xml:space="preserve"> </w:t>
      </w:r>
      <w:hyperlink r:id="rId29">
        <w:r>
          <w:rPr>
            <w:rStyle w:val="Hyperlink"/>
          </w:rPr>
          <w:t xml:space="preserve">[20]</w:t>
        </w:r>
      </w:hyperlink>
      <w:r>
        <w:br/>
      </w:r>
      <w:r>
        <w:t xml:space="preserve">Labor/job-posting networks show predictability in recent academic work but are often operationally difficult to reproduce “for free” at scale.</w:t>
      </w:r>
      <w:r>
        <w:t xml:space="preserve"> </w:t>
      </w:r>
      <w:hyperlink r:id="rId32">
        <w:r>
          <w:rPr>
            <w:rStyle w:val="Hyperlink"/>
          </w:rPr>
          <w:t xml:space="preserve">[12]</w:t>
        </w:r>
      </w:hyperlink>
      <w:r>
        <w:br/>
      </w:r>
      <w:r>
        <w:t xml:space="preserve">App usage-based predictability exists in research; whether</w:t>
      </w:r>
      <w:r>
        <w:t xml:space="preserve"> </w:t>
      </w:r>
      <w:r>
        <w:rPr>
          <w:i/>
          <w:iCs/>
        </w:rPr>
        <w:t xml:space="preserve">free rankings</w:t>
      </w:r>
      <w:r>
        <w:t xml:space="preserve"> </w:t>
      </w:r>
      <w:r>
        <w:t xml:space="preserve">can substitute for app download/DAU measures is plausible but unproven.</w:t>
      </w:r>
      <w:r>
        <w:t xml:space="preserve"> </w:t>
      </w:r>
      <w:hyperlink r:id="rId33">
        <w:r>
          <w:rPr>
            <w:rStyle w:val="Hyperlink"/>
          </w:rPr>
          <w:t xml:space="preserve">[13]</w:t>
        </w:r>
      </w:hyperlink>
    </w:p>
    <w:bookmarkEnd w:id="42"/>
    <w:bookmarkStart w:id="44" w:name="X5f94e6da5b39d1291602ca413eade51c35c9737"/>
    <w:p>
      <w:pPr>
        <w:pStyle w:val="Heading3"/>
      </w:pPr>
      <w:r>
        <w:t xml:space="preserve">What realistic information advantage does retail have?</w:t>
      </w:r>
    </w:p>
    <w:p>
      <w:pPr>
        <w:pStyle w:val="FirstParagraph"/>
      </w:pPr>
      <w:r>
        <w:t xml:space="preserve">The uncomfortable truth: in</w:t>
      </w:r>
      <w:r>
        <w:t xml:space="preserve"> </w:t>
      </w:r>
      <w:r>
        <w:rPr>
          <w:b/>
          <w:bCs/>
        </w:rPr>
        <w:t xml:space="preserve">liquid U.S. large-cap equities</w:t>
      </w:r>
      <w:r>
        <w:t xml:space="preserve">, retail’s “information advantage” from</w:t>
      </w:r>
      <w:r>
        <w:t xml:space="preserve"> </w:t>
      </w:r>
      <w:r>
        <w:rPr>
          <w:i/>
          <w:iCs/>
        </w:rPr>
        <w:t xml:space="preserve">free public alternative data</w:t>
      </w:r>
      <w:r>
        <w:t xml:space="preserve"> </w:t>
      </w:r>
      <w:r>
        <w:t xml:space="preserve">is usually close to</w:t>
      </w:r>
      <w:r>
        <w:t xml:space="preserve"> </w:t>
      </w:r>
      <w:r>
        <w:rPr>
          <w:b/>
          <w:bCs/>
        </w:rPr>
        <w:t xml:space="preserve">zero</w:t>
      </w:r>
      <w:r>
        <w:t xml:space="preserve"> </w:t>
      </w:r>
      <w:r>
        <w:t xml:space="preserve">in speed and access. The only plausible retail advantages are structural:</w:t>
      </w:r>
    </w:p>
    <w:p>
      <w:pPr>
        <w:pStyle w:val="BodyText"/>
      </w:pPr>
      <w:r>
        <w:t xml:space="preserve">Small capital can monetize</w:t>
      </w:r>
      <w:r>
        <w:t xml:space="preserve"> </w:t>
      </w:r>
      <w:r>
        <w:rPr>
          <w:b/>
          <w:bCs/>
        </w:rPr>
        <w:t xml:space="preserve">small-capacity edges</w:t>
      </w:r>
      <w:r>
        <w:t xml:space="preserve"> </w:t>
      </w:r>
      <w:r>
        <w:t xml:space="preserve">that are irrelevant to multi-billion-dollar funds (capacity limits are a real reason some anomalies persist economically). This is logically consistent with limits-to-arbitrage arguments.</w:t>
      </w:r>
      <w:r>
        <w:t xml:space="preserve"> </w:t>
      </w:r>
      <w:hyperlink r:id="rId41">
        <w:r>
          <w:rPr>
            <w:rStyle w:val="Hyperlink"/>
          </w:rPr>
          <w:t xml:space="preserve">[21]</w:t>
        </w:r>
      </w:hyperlink>
      <w:r>
        <w:br/>
      </w:r>
      <w:r>
        <w:t xml:space="preserve">Some signals relevant at</w:t>
      </w:r>
      <w:r>
        <w:t xml:space="preserve"> </w:t>
      </w:r>
      <w:r>
        <w:rPr>
          <w:b/>
          <w:bCs/>
        </w:rPr>
        <w:t xml:space="preserve">daily-to-monthly</w:t>
      </w:r>
      <w:r>
        <w:t xml:space="preserve"> </w:t>
      </w:r>
      <w:r>
        <w:t xml:space="preserve">horizons may not require colocation; your disadvantage is not speed, but</w:t>
      </w:r>
      <w:r>
        <w:t xml:space="preserve"> </w:t>
      </w:r>
      <w:r>
        <w:rPr>
          <w:b/>
          <w:bCs/>
        </w:rPr>
        <w:t xml:space="preserve">data engineering quality</w:t>
      </w:r>
      <w:r>
        <w:t xml:space="preserve"> </w:t>
      </w:r>
      <w:r>
        <w:t xml:space="preserve">and robustness.</w:t>
      </w:r>
      <w:r>
        <w:t xml:space="preserve"> </w:t>
      </w:r>
      <w:hyperlink r:id="rId43">
        <w:r>
          <w:rPr>
            <w:rStyle w:val="Hyperlink"/>
          </w:rPr>
          <w:t xml:space="preserve">[22]</w:t>
        </w:r>
      </w:hyperlink>
      <w:r>
        <w:br/>
      </w:r>
      <w:r>
        <w:t xml:space="preserve">Retail can also pursue “niche interpretation” (creative feature construction). But the moment the niche is public and scalable, it tends to get crowded—an AMH prediction.</w:t>
      </w:r>
      <w:r>
        <w:t xml:space="preserve"> </w:t>
      </w:r>
      <w:hyperlink r:id="rId22">
        <w:r>
          <w:rPr>
            <w:rStyle w:val="Hyperlink"/>
          </w:rPr>
          <w:t xml:space="preserve">[3]</w:t>
        </w:r>
      </w:hyperlink>
    </w:p>
    <w:p>
      <w:pPr>
        <w:pStyle w:val="BodyText"/>
      </w:pPr>
      <w:r>
        <w:t xml:space="preserve">For</w:t>
      </w:r>
      <w:r>
        <w:t xml:space="preserve"> </w:t>
      </w:r>
      <w:r>
        <w:rPr>
          <w:b/>
          <w:bCs/>
        </w:rPr>
        <w:t xml:space="preserve">Uber specifically</w:t>
      </w:r>
      <w:r>
        <w:t xml:space="preserve"> </w:t>
      </w:r>
      <w:r>
        <w:t xml:space="preserve">(a widely followed, liquid name), expect retail “informational advantage” to be especially low.</w:t>
      </w:r>
    </w:p>
    <w:bookmarkEnd w:id="44"/>
    <w:bookmarkEnd w:id="45"/>
    <w:bookmarkStart w:id="65" w:name="X6aad6b218f26961ee3b0164f38bde91e7d077a8"/>
    <w:p>
      <w:pPr>
        <w:pStyle w:val="Heading2"/>
      </w:pPr>
      <w:r>
        <w:t xml:space="preserve">Backtesting methodology and statistical traps</w:t>
      </w:r>
    </w:p>
    <w:bookmarkStart w:id="53" w:name="mistakes-that-create-false-confidence"/>
    <w:p>
      <w:pPr>
        <w:pStyle w:val="Heading3"/>
      </w:pPr>
      <w:r>
        <w:t xml:space="preserve">Mistakes that create false confidence</w:t>
      </w:r>
    </w:p>
    <w:p>
      <w:pPr>
        <w:pStyle w:val="FirstParagraph"/>
      </w:pPr>
      <w:r>
        <w:t xml:space="preserve">The high-danger backtesting errors you must assume you will make unless your system is designed to prevent them:</w:t>
      </w:r>
    </w:p>
    <w:p>
      <w:pPr>
        <w:pStyle w:val="BodyText"/>
      </w:pPr>
      <w:r>
        <w:rPr>
          <w:b/>
          <w:bCs/>
        </w:rPr>
        <w:t xml:space="preserve">Look-ahead bias via wrong timestamps (“event time” vs “public time”)</w:t>
      </w:r>
      <w:r>
        <w:t xml:space="preserve">. For example, insiders transact on day</w:t>
      </w:r>
      <w:r>
        <w:t xml:space="preserve"> </w:t>
      </w:r>
      <w:r>
        <w:rPr>
          <w:i/>
          <w:iCs/>
        </w:rPr>
        <w:t xml:space="preserve">t</w:t>
      </w:r>
      <w:r>
        <w:t xml:space="preserve">, but you only learn via Form 4 which is due</w:t>
      </w:r>
      <w:r>
        <w:t xml:space="preserve"> </w:t>
      </w:r>
      <w:r>
        <w:rPr>
          <w:b/>
          <w:bCs/>
        </w:rPr>
        <w:t xml:space="preserve">within two business days</w:t>
      </w:r>
      <w:r>
        <w:t xml:space="preserve">. Any backtest using transaction time without enforcing the filing/publication delay is contaminated.</w:t>
      </w:r>
      <w:r>
        <w:t xml:space="preserve"> </w:t>
      </w:r>
      <w:hyperlink r:id="rId26">
        <w:r>
          <w:rPr>
            <w:rStyle w:val="Hyperlink"/>
          </w:rPr>
          <w:t xml:space="preserve">[6]</w:t>
        </w:r>
      </w:hyperlink>
      <w:r>
        <w:br/>
      </w:r>
      <w:r>
        <w:t xml:space="preserve">Similarly, Form 13F holdings are not public in real time; filings are due</w:t>
      </w:r>
      <w:r>
        <w:t xml:space="preserve"> </w:t>
      </w:r>
      <w:r>
        <w:rPr>
          <w:b/>
          <w:bCs/>
        </w:rPr>
        <w:t xml:space="preserve">within 45 days after quarter-end</w:t>
      </w:r>
      <w:r>
        <w:t xml:space="preserve">, which is a huge lag for daily prediction.</w:t>
      </w:r>
      <w:r>
        <w:t xml:space="preserve"> </w:t>
      </w:r>
      <w:hyperlink r:id="rId46">
        <w:r>
          <w:rPr>
            <w:rStyle w:val="Hyperlink"/>
          </w:rPr>
          <w:t xml:space="preserve">[23]</w:t>
        </w:r>
      </w:hyperlink>
      <w:r>
        <w:br/>
      </w:r>
      <w:r>
        <w:t xml:space="preserve">Form 144 filings are “notice of proposed sale” and are required for affiliates when sales exceed</w:t>
      </w:r>
      <w:r>
        <w:t xml:space="preserve"> </w:t>
      </w:r>
      <w:r>
        <w:rPr>
          <w:b/>
          <w:bCs/>
        </w:rPr>
        <w:t xml:space="preserve">5,000 shares or $50,000 in any three-month period</w:t>
      </w:r>
      <w:r>
        <w:t xml:space="preserve">.</w:t>
      </w:r>
      <w:r>
        <w:t xml:space="preserve"> </w:t>
      </w:r>
      <w:hyperlink r:id="rId47">
        <w:r>
          <w:rPr>
            <w:rStyle w:val="Hyperlink"/>
          </w:rPr>
          <w:t xml:space="preserve">[24]</w:t>
        </w:r>
      </w:hyperlink>
      <w:r>
        <w:br/>
      </w:r>
      <w:r>
        <w:t xml:space="preserve">But again: you must align to when the filing becomes public and tradable.</w:t>
      </w:r>
    </w:p>
    <w:p>
      <w:pPr>
        <w:pStyle w:val="BodyText"/>
      </w:pPr>
      <w:r>
        <w:rPr>
          <w:b/>
          <w:bCs/>
        </w:rPr>
        <w:t xml:space="preserve">Survivorship bias and “data availability creep.”</w:t>
      </w:r>
      <w:r>
        <w:t xml:space="preserve"> </w:t>
      </w:r>
      <w:r>
        <w:t xml:space="preserve">This shows up when you unintentionally use today’s coverage universe (executives, apps, job boards, etc.) as if it existed historically. 13F data also has strategic reporting quirks (confidential treatment, restatements, delays) that can create survivorship-like distortions unless you use the</w:t>
      </w:r>
      <w:r>
        <w:t xml:space="preserve"> </w:t>
      </w:r>
      <w:r>
        <w:rPr>
          <w:i/>
          <w:iCs/>
        </w:rPr>
        <w:t xml:space="preserve">as-filed</w:t>
      </w:r>
      <w:r>
        <w:t xml:space="preserve"> </w:t>
      </w:r>
      <w:r>
        <w:t xml:space="preserve">record.</w:t>
      </w:r>
      <w:r>
        <w:t xml:space="preserve"> </w:t>
      </w:r>
      <w:hyperlink r:id="rId48">
        <w:r>
          <w:rPr>
            <w:rStyle w:val="Hyperlink"/>
          </w:rPr>
          <w:t xml:space="preserve">[25]</w:t>
        </w:r>
      </w:hyperlink>
    </w:p>
    <w:p>
      <w:pPr>
        <w:pStyle w:val="BodyText"/>
      </w:pPr>
      <w:r>
        <w:rPr>
          <w:b/>
          <w:bCs/>
        </w:rPr>
        <w:t xml:space="preserve">Overfitting by feature selection and hyperparameter search.</w:t>
      </w:r>
      <w:r>
        <w:t xml:space="preserve"> </w:t>
      </w:r>
      <w:r>
        <w:t xml:space="preserve">Bailey–Borwein–López de Prado–Zhu formalize “backtest overfitting” and emphasize that standard holdout approaches can be unreliable in investment backtests because repeated trials inflate the probability of selecting a lucky strategy.</w:t>
      </w:r>
      <w:r>
        <w:t xml:space="preserve"> </w:t>
      </w:r>
      <w:hyperlink r:id="rId49">
        <w:r>
          <w:rPr>
            <w:rStyle w:val="Hyperlink"/>
          </w:rPr>
          <w:t xml:space="preserve">[26]</w:t>
        </w:r>
      </w:hyperlink>
    </w:p>
    <w:p>
      <w:pPr>
        <w:pStyle w:val="BodyText"/>
      </w:pPr>
      <w:r>
        <w:rPr>
          <w:b/>
          <w:bCs/>
        </w:rPr>
        <w:t xml:space="preserve">Data snooping / selection bias (“we tried 332 signals and picked the best”).</w:t>
      </w:r>
      <w:r>
        <w:t xml:space="preserve"> </w:t>
      </w:r>
      <w:r>
        <w:t xml:space="preserve">White’s “Reality Check” and the Sullivan–Timmermann–White bootstrap framework exist because testing many rules makes some look significant by chance.</w:t>
      </w:r>
      <w:r>
        <w:t xml:space="preserve"> </w:t>
      </w:r>
      <w:hyperlink r:id="rId50">
        <w:r>
          <w:rPr>
            <w:rStyle w:val="Hyperlink"/>
          </w:rPr>
          <w:t xml:space="preserve">[27]</w:t>
        </w:r>
      </w:hyperlink>
      <w:r>
        <w:br/>
      </w:r>
      <w:r>
        <w:t xml:space="preserve">Hansen’s SPA test was explicitly proposed as a more powerful alternative to the Reality Check for this kind of setting.</w:t>
      </w:r>
      <w:r>
        <w:t xml:space="preserve"> </w:t>
      </w:r>
      <w:hyperlink r:id="rId51">
        <w:r>
          <w:rPr>
            <w:rStyle w:val="Hyperlink"/>
          </w:rPr>
          <w:t xml:space="preserve">[28]</w:t>
        </w:r>
      </w:hyperlink>
    </w:p>
    <w:p>
      <w:pPr>
        <w:pStyle w:val="BodyText"/>
      </w:pPr>
      <w:r>
        <w:rPr>
          <w:b/>
          <w:bCs/>
        </w:rPr>
        <w:t xml:space="preserve">Non-IID returns and misleading p-values.</w:t>
      </w:r>
      <w:r>
        <w:t xml:space="preserve"> </w:t>
      </w:r>
      <w:r>
        <w:t xml:space="preserve">Financial returns are not IID; Sharpe ratios can be overstated by serial correlation and other statistical issues. Lo (2002) focuses directly on the inferential problem: Sharpe ratio estimates are noisy and require proper statistical treatment.</w:t>
      </w:r>
      <w:r>
        <w:t xml:space="preserve"> </w:t>
      </w:r>
      <w:hyperlink r:id="rId52">
        <w:r>
          <w:rPr>
            <w:rStyle w:val="Hyperlink"/>
          </w:rPr>
          <w:t xml:space="preserve">[29]</w:t>
        </w:r>
      </w:hyperlink>
    </w:p>
    <w:bookmarkEnd w:id="53"/>
    <w:bookmarkStart w:id="54" w:name="multiple-comparisons-with-332-signals"/>
    <w:p>
      <w:pPr>
        <w:pStyle w:val="Heading3"/>
      </w:pPr>
      <w:r>
        <w:t xml:space="preserve">Multiple comparisons with 332 signals</w:t>
      </w:r>
    </w:p>
    <w:p>
      <w:pPr>
        <w:pStyle w:val="FirstParagraph"/>
      </w:pPr>
      <w:r>
        <w:t xml:space="preserve">If you test</w:t>
      </w:r>
      <w:r>
        <w:t xml:space="preserve"> </w:t>
      </w:r>
      <w:r>
        <w:rPr>
          <w:b/>
          <w:bCs/>
        </w:rPr>
        <w:t xml:space="preserve">m = 332</w:t>
      </w:r>
      <w:r>
        <w:t xml:space="preserve"> </w:t>
      </w:r>
      <w:r>
        <w:t xml:space="preserve">independent null hypotheses at</w:t>
      </w:r>
      <w:r>
        <w:t xml:space="preserve"> </w:t>
      </w:r>
      <w:r>
        <w:rPr>
          <w:b/>
          <w:bCs/>
        </w:rPr>
        <w:t xml:space="preserve">p &lt; 0.05</w:t>
      </w:r>
      <w:r>
        <w:t xml:space="preserve">, the expected number of false positives is:</w:t>
      </w:r>
    </w:p>
    <w:p>
      <w:pPr>
        <w:pStyle w:val="BodyText"/>
      </w:pPr>
      <m:oMathPara>
        <m:oMathParaPr>
          <m:jc m:val="center"/>
        </m:oMathParaPr>
        <m:oMath>
          <m:r>
            <m:t>E</m:t>
          </m:r>
          <m:d>
            <m:dPr>
              <m:begChr m:val="["/>
              <m:sepChr m:val=""/>
              <m:endChr m:val="]"/>
              <m:grow/>
            </m:dPr>
            <m:e>
              <m:r>
                <m:rPr>
                  <m:nor/>
                  <m:sty m:val="p"/>
                </m:rPr>
                <m:t>false positives</m:t>
              </m:r>
            </m:e>
          </m:d>
          <m:r>
            <m:rPr>
              <m:sty m:val="p"/>
            </m:rPr>
            <m:t>=</m:t>
          </m:r>
          <m:r>
            <m:t>m</m:t>
          </m:r>
          <m:r>
            <m:t>α</m:t>
          </m:r>
          <m:r>
            <m:rPr>
              <m:sty m:val="p"/>
            </m:rPr>
            <m:t>=</m:t>
          </m:r>
          <m:r>
            <m:t>332</m:t>
          </m:r>
          <m:r>
            <m:rPr>
              <m:sty m:val="p"/>
            </m:rPr>
            <m:t>×</m:t>
          </m:r>
          <m:r>
            <m:t>0.05</m:t>
          </m:r>
          <m:r>
            <m:rPr>
              <m:sty m:val="p"/>
            </m:rPr>
            <m:t>≈</m:t>
          </m:r>
          <m:r>
            <m:t>16.6</m:t>
          </m:r>
        </m:oMath>
      </m:oMathPara>
    </w:p>
    <w:p>
      <w:pPr>
        <w:pStyle w:val="FirstParagraph"/>
      </w:pPr>
      <w:r>
        <w:t xml:space="preserve">That is the baseline “physics of p-values,” before considering that you will also tune thresholds, lags, transforms, and filters—each of which effectively increases the number of trials.</w:t>
      </w:r>
    </w:p>
    <w:p>
      <w:pPr>
        <w:pStyle w:val="BodyText"/>
      </w:pPr>
      <w:r>
        <w:t xml:space="preserve">Multiple comparisons: expected false positives</w:t>
      </w:r>
      <w:r>
        <w:br/>
      </w:r>
    </w:p>
    <w:bookmarkEnd w:id="54"/>
    <w:bookmarkStart w:id="58" w:name="what-correction-methods-are-appropriate"/>
    <w:p>
      <w:pPr>
        <w:pStyle w:val="Heading3"/>
      </w:pPr>
      <w:r>
        <w:t xml:space="preserve">What correction methods are appropriate?</w:t>
      </w:r>
    </w:p>
    <w:p>
      <w:pPr>
        <w:pStyle w:val="FirstParagraph"/>
      </w:pPr>
      <w:r>
        <w:t xml:space="preserve">There is no single “right” correction; it depends on whether you’re doing</w:t>
      </w:r>
      <w:r>
        <w:t xml:space="preserve"> </w:t>
      </w:r>
      <w:r>
        <w:rPr>
          <w:b/>
          <w:bCs/>
        </w:rPr>
        <w:t xml:space="preserve">scientific discovery</w:t>
      </w:r>
      <w:r>
        <w:t xml:space="preserve"> </w:t>
      </w:r>
      <w:r>
        <w:t xml:space="preserve">(control false discoveries) or</w:t>
      </w:r>
      <w:r>
        <w:t xml:space="preserve"> </w:t>
      </w:r>
      <w:r>
        <w:rPr>
          <w:b/>
          <w:bCs/>
        </w:rPr>
        <w:t xml:space="preserve">capital allocation</w:t>
      </w:r>
      <w:r>
        <w:t xml:space="preserve"> </w:t>
      </w:r>
      <w:r>
        <w:t xml:space="preserve">(avoid funding noise).</w:t>
      </w:r>
    </w:p>
    <w:p>
      <w:pPr>
        <w:pStyle w:val="BodyText"/>
      </w:pPr>
      <w:r>
        <w:rPr>
          <w:b/>
          <w:bCs/>
        </w:rPr>
        <w:t xml:space="preserve">Bonferroni / family-wise error rate (FWER)</w:t>
      </w:r>
      <w:r>
        <w:t xml:space="preserve">: Extremely conservative. With Bonferroni, your per-test threshold is</w:t>
      </w:r>
      <w:r>
        <w:t xml:space="preserve"> </w:t>
      </w:r>
      <m:oMath>
        <m:r>
          <m:t>α</m:t>
        </m:r>
        <m:r>
          <m:rPr>
            <m:sty m:val="p"/>
          </m:rPr>
          <m:t>/</m:t>
        </m:r>
        <m:r>
          <m:t>m</m:t>
        </m:r>
        <m:r>
          <m:rPr>
            <m:sty m:val="p"/>
          </m:rPr>
          <m:t>≈</m:t>
        </m:r>
        <m:r>
          <m:t>0.05</m:t>
        </m:r>
        <m:r>
          <m:rPr>
            <m:sty m:val="p"/>
          </m:rPr>
          <m:t>/</m:t>
        </m:r>
        <m:r>
          <m:t>332</m:t>
        </m:r>
        <m:r>
          <m:rPr>
            <m:sty m:val="p"/>
          </m:rPr>
          <m:t>≈</m:t>
        </m:r>
        <m:r>
          <m:t>0.00015</m:t>
        </m:r>
      </m:oMath>
      <w:r>
        <w:t xml:space="preserve">. This can be appropriate if you plan to act on a small number of “discoveries” and want very low probability of any false discovery—at the cost of discarding most weak-but-real signals.</w:t>
      </w:r>
    </w:p>
    <w:p>
      <w:pPr>
        <w:pStyle w:val="BodyText"/>
      </w:pPr>
      <w:r>
        <w:rPr>
          <w:b/>
          <w:bCs/>
        </w:rPr>
        <w:t xml:space="preserve">Benjamini–Hochberg (BH) false discovery rate (FDR)</w:t>
      </w:r>
      <w:r>
        <w:t xml:space="preserve">: Often more appropriate when screening many signals because it controls the expected proportion of false discoveries among rejected hypotheses.</w:t>
      </w:r>
      <w:r>
        <w:t xml:space="preserve"> </w:t>
      </w:r>
      <w:hyperlink r:id="rId55">
        <w:r>
          <w:rPr>
            <w:rStyle w:val="Hyperlink"/>
          </w:rPr>
          <w:t xml:space="preserve">[30]</w:t>
        </w:r>
      </w:hyperlink>
      <w:r>
        <w:br/>
      </w:r>
      <w:r>
        <w:t xml:space="preserve">In quant research practice, FDR-style thinking is pervasive because features are numerous and correlated; BH gives you a principled compromise.</w:t>
      </w:r>
    </w:p>
    <w:p>
      <w:pPr>
        <w:pStyle w:val="BodyText"/>
      </w:pPr>
      <w:r>
        <w:rPr>
          <w:b/>
          <w:bCs/>
        </w:rPr>
        <w:t xml:space="preserve">Holm step-down procedure</w:t>
      </w:r>
      <w:r>
        <w:t xml:space="preserve">: A uniformly more powerful improvement over Bonferroni while still controlling FWER.</w:t>
      </w:r>
      <w:r>
        <w:t xml:space="preserve"> </w:t>
      </w:r>
      <w:hyperlink r:id="rId56">
        <w:r>
          <w:rPr>
            <w:rStyle w:val="Hyperlink"/>
          </w:rPr>
          <w:t xml:space="preserve">[31]</w:t>
        </w:r>
      </w:hyperlink>
      <w:r>
        <w:br/>
      </w:r>
      <w:r>
        <w:rPr>
          <w:b/>
          <w:bCs/>
        </w:rPr>
        <w:t xml:space="preserve">Romano–Wolf stepdown / bootstrap-based familywise corrections</w:t>
      </w:r>
      <w:r>
        <w:t xml:space="preserve">: Designed to retain power under dependence structures, and explicitly discussed as formalized data snooping controls.</w:t>
      </w:r>
      <w:r>
        <w:t xml:space="preserve"> </w:t>
      </w:r>
      <w:hyperlink r:id="rId57">
        <w:r>
          <w:rPr>
            <w:rStyle w:val="Hyperlink"/>
          </w:rPr>
          <w:t xml:space="preserve">[32]</w:t>
        </w:r>
      </w:hyperlink>
    </w:p>
    <w:p>
      <w:pPr>
        <w:pStyle w:val="BodyText"/>
      </w:pPr>
      <w:r>
        <w:rPr>
          <w:b/>
          <w:bCs/>
        </w:rPr>
        <w:t xml:space="preserve">Reality Check / SPA tests</w:t>
      </w:r>
      <w:r>
        <w:t xml:space="preserve">: If your workflow is “generate many strategies, pick the best,” then Reality Check (White) and SPA (Hansen) are directly on point.</w:t>
      </w:r>
      <w:r>
        <w:t xml:space="preserve"> </w:t>
      </w:r>
      <w:hyperlink r:id="rId50">
        <w:r>
          <w:rPr>
            <w:rStyle w:val="Hyperlink"/>
          </w:rPr>
          <w:t xml:space="preserve">[33]</w:t>
        </w:r>
      </w:hyperlink>
    </w:p>
    <w:bookmarkEnd w:id="58"/>
    <w:bookmarkStart w:id="59" w:name="X27ff652beba25ce80a9009581684ccd17914ce7"/>
    <w:p>
      <w:pPr>
        <w:pStyle w:val="Heading3"/>
      </w:pPr>
      <w:r>
        <w:t xml:space="preserve">What false discovery rate should you target?</w:t>
      </w:r>
    </w:p>
    <w:p>
      <w:pPr>
        <w:pStyle w:val="FirstParagraph"/>
      </w:pPr>
      <w:r>
        <w:t xml:space="preserve">For a research pipeline meant to propose</w:t>
      </w:r>
      <w:r>
        <w:t xml:space="preserve"> </w:t>
      </w:r>
      <w:r>
        <w:rPr>
          <w:i/>
          <w:iCs/>
        </w:rPr>
        <w:t xml:space="preserve">candidate weights</w:t>
      </w:r>
      <w:r>
        <w:t xml:space="preserve"> </w:t>
      </w:r>
      <w:r>
        <w:t xml:space="preserve">(not trade live), you might initially tolerate an FDR like 10% to generate hypotheses—common in other discovery fields. But for</w:t>
      </w:r>
      <w:r>
        <w:t xml:space="preserve"> </w:t>
      </w:r>
      <w:r>
        <w:rPr>
          <w:i/>
          <w:iCs/>
        </w:rPr>
        <w:t xml:space="preserve">deployable trading</w:t>
      </w:r>
      <w:r>
        <w:t xml:space="preserve">, top investors would usually push you toward a much lower effective false discovery rate because:</w:t>
      </w:r>
    </w:p>
    <w:p>
      <w:pPr>
        <w:pStyle w:val="BodyText"/>
      </w:pPr>
      <w:r>
        <w:t xml:space="preserve">Under AMH, signals decay; “marginal” signals are most likely to die.</w:t>
      </w:r>
      <w:r>
        <w:t xml:space="preserve"> </w:t>
      </w:r>
      <w:hyperlink r:id="rId22">
        <w:r>
          <w:rPr>
            <w:rStyle w:val="Hyperlink"/>
          </w:rPr>
          <w:t xml:space="preserve">[3]</w:t>
        </w:r>
      </w:hyperlink>
      <w:r>
        <w:br/>
      </w:r>
      <w:r>
        <w:t xml:space="preserve">In U.S. equities, predictors tend to weaken after they’re known; post-publication deterioration is large.</w:t>
      </w:r>
      <w:r>
        <w:t xml:space="preserve"> </w:t>
      </w:r>
      <w:hyperlink r:id="rId39">
        <w:r>
          <w:rPr>
            <w:rStyle w:val="Hyperlink"/>
          </w:rPr>
          <w:t xml:space="preserve">[34]</w:t>
        </w:r>
      </w:hyperlink>
    </w:p>
    <w:p>
      <w:pPr>
        <w:pStyle w:val="BodyText"/>
      </w:pPr>
      <w:r>
        <w:t xml:space="preserve">A blunt institutional heuristic that aligns with this: demand very high statistical hurdles to declare a “new” factor or predictor. Harvey–Liu–Zhu argue that given extensive factor mining, a new factor should clear a higher bar, with</w:t>
      </w:r>
      <w:r>
        <w:t xml:space="preserve"> </w:t>
      </w:r>
      <w:r>
        <w:rPr>
          <w:b/>
          <w:bCs/>
        </w:rPr>
        <w:t xml:space="preserve">t-statistics above ~3.0</w:t>
      </w:r>
      <w:r>
        <w:t xml:space="preserve"> </w:t>
      </w:r>
      <w:r>
        <w:t xml:space="preserve">rather than the classic ~2.0.</w:t>
      </w:r>
      <w:r>
        <w:t xml:space="preserve"> </w:t>
      </w:r>
      <w:hyperlink r:id="rId25">
        <w:r>
          <w:rPr>
            <w:rStyle w:val="Hyperlink"/>
          </w:rPr>
          <w:t xml:space="preserve">[35]</w:t>
        </w:r>
      </w:hyperlink>
    </w:p>
    <w:bookmarkEnd w:id="59"/>
    <w:bookmarkStart w:id="61" w:name="X3799fef9643bee6d1e5dec4f9688e3426f6fb7c"/>
    <w:p>
      <w:pPr>
        <w:pStyle w:val="Heading3"/>
      </w:pPr>
      <w:r>
        <w:t xml:space="preserve">What thresholds and sample sizes constitute robust evidence?</w:t>
      </w:r>
    </w:p>
    <w:p>
      <w:pPr>
        <w:pStyle w:val="FirstParagraph"/>
      </w:pPr>
      <w:r>
        <w:t xml:space="preserve">This is where your current design (single stock, ~6.7 years) collides with statistics.</w:t>
      </w:r>
    </w:p>
    <w:p>
      <w:pPr>
        <w:pStyle w:val="BodyText"/>
      </w:pPr>
      <w:r>
        <w:t xml:space="preserve">A rule-of-thumb relationship (under simplifying assumptions) is that a t-statistic for Sharpe scales like:</w:t>
      </w:r>
    </w:p>
    <w:p>
      <w:pPr>
        <w:pStyle w:val="BodyText"/>
      </w:pPr>
      <m:oMathPara>
        <m:oMathParaPr>
          <m:jc m:val="center"/>
        </m:oMathParaPr>
        <m:oMath>
          <m:r>
            <m:t>t</m:t>
          </m:r>
          <m:r>
            <m:rPr>
              <m:sty m:val="p"/>
            </m:rPr>
            <m:t>≈</m:t>
          </m:r>
          <m:r>
            <m:t>S</m:t>
          </m:r>
          <m:r>
            <m:t>R</m:t>
          </m:r>
          <m:rad>
            <m:radPr>
              <m:degHide m:val="on"/>
            </m:radPr>
            <m:deg/>
            <m:e>
              <m:r>
                <m:t>T</m:t>
              </m:r>
            </m:e>
          </m:rad>
        </m:oMath>
      </m:oMathPara>
    </w:p>
    <w:p>
      <w:pPr>
        <w:pStyle w:val="FirstParagraph"/>
      </w:pPr>
      <w:r>
        <w:t xml:space="preserve">and Lo (2002) emphasizes why Sharpe inference must account for estimation error and deviations from ideal assumptions.</w:t>
      </w:r>
      <w:r>
        <w:t xml:space="preserve"> </w:t>
      </w:r>
      <w:hyperlink r:id="rId52">
        <w:r>
          <w:rPr>
            <w:rStyle w:val="Hyperlink"/>
          </w:rPr>
          <w:t xml:space="preserve">[29]</w:t>
        </w:r>
      </w:hyperlink>
    </w:p>
    <w:p>
      <w:pPr>
        <w:pStyle w:val="BodyText"/>
      </w:pPr>
      <w:r>
        <w:t xml:space="preserve">With ~6.7 years of daily data (~1,700 observations), achieving</w:t>
      </w:r>
      <w:r>
        <w:t xml:space="preserve"> </w:t>
      </w:r>
      <w:r>
        <w:rPr>
          <w:b/>
          <w:bCs/>
        </w:rPr>
        <w:t xml:space="preserve">t ≈ 3</w:t>
      </w:r>
      <w:r>
        <w:t xml:space="preserve"> </w:t>
      </w:r>
      <w:r>
        <w:t xml:space="preserve">implies an annualized Sharpe on the order of</w:t>
      </w:r>
      <w:r>
        <w:t xml:space="preserve"> </w:t>
      </w:r>
      <w:r>
        <w:rPr>
          <w:b/>
          <w:bCs/>
        </w:rPr>
        <w:t xml:space="preserve">~1.1+</w:t>
      </w:r>
      <w:r>
        <w:t xml:space="preserve"> </w:t>
      </w:r>
      <w:r>
        <w:t xml:space="preserve">under optimistic assumptions. Under Bonferroni-like thresholds (roughly t ≈ 3.8), you are in the</w:t>
      </w:r>
      <w:r>
        <w:t xml:space="preserve"> </w:t>
      </w:r>
      <w:r>
        <w:rPr>
          <w:b/>
          <w:bCs/>
        </w:rPr>
        <w:t xml:space="preserve">~1.4+ annualized Sharpe</w:t>
      </w:r>
      <w:r>
        <w:t xml:space="preserve"> </w:t>
      </w:r>
      <w:r>
        <w:t xml:space="preserve">neighborhood. In liquid single-name equity trading, that is an exceptionally high bar</w:t>
      </w:r>
      <w:r>
        <w:t xml:space="preserve"> </w:t>
      </w:r>
      <w:r>
        <w:rPr>
          <w:i/>
          <w:iCs/>
        </w:rPr>
        <w:t xml:space="preserve">after</w:t>
      </w:r>
      <w:r>
        <w:t xml:space="preserve"> </w:t>
      </w:r>
      <w:r>
        <w:t xml:space="preserve">costs.</w:t>
      </w:r>
    </w:p>
    <w:p>
      <w:pPr>
        <w:pStyle w:val="BodyText"/>
      </w:pPr>
      <w:r>
        <w:t xml:space="preserve">Bailey &amp; López de Prado’s work on Probabilistic Sharpe Ratio and Deflated Sharpe Ratio is essentially a warning label: Sharpe estimates are inflated by short samples, non-normality, and strategy selection across many trials; they propose corrected evaluation frameworks.</w:t>
      </w:r>
      <w:r>
        <w:t xml:space="preserve"> </w:t>
      </w:r>
      <w:hyperlink r:id="rId60">
        <w:r>
          <w:rPr>
            <w:rStyle w:val="Hyperlink"/>
          </w:rPr>
          <w:t xml:space="preserve">[36]</w:t>
        </w:r>
      </w:hyperlink>
    </w:p>
    <w:bookmarkEnd w:id="61"/>
    <w:bookmarkStart w:id="64" w:name="X03a67fe97ed4150dec97e5e5c4b78fe90b26d40"/>
    <w:p>
      <w:pPr>
        <w:pStyle w:val="Heading3"/>
      </w:pPr>
      <w:r>
        <w:t xml:space="preserve">What out-of-sample validation do top quant firms use?</w:t>
      </w:r>
    </w:p>
    <w:p>
      <w:pPr>
        <w:pStyle w:val="FirstParagraph"/>
      </w:pPr>
      <w:r>
        <w:t xml:space="preserve">Top shops use layered defenses, not one trick:</w:t>
      </w:r>
    </w:p>
    <w:p>
      <w:pPr>
        <w:pStyle w:val="BodyText"/>
      </w:pPr>
      <w:r>
        <w:t xml:space="preserve">They enforce</w:t>
      </w:r>
      <w:r>
        <w:t xml:space="preserve"> </w:t>
      </w:r>
      <w:r>
        <w:rPr>
          <w:b/>
          <w:bCs/>
        </w:rPr>
        <w:t xml:space="preserve">time-based out-of-sample</w:t>
      </w:r>
      <w:r>
        <w:t xml:space="preserve"> </w:t>
      </w:r>
      <w:r>
        <w:t xml:space="preserve">splits and do walk-forward evaluation, because IID assumptions fail in markets.</w:t>
      </w:r>
      <w:r>
        <w:t xml:space="preserve"> </w:t>
      </w:r>
      <w:hyperlink r:id="rId62">
        <w:r>
          <w:rPr>
            <w:rStyle w:val="Hyperlink"/>
          </w:rPr>
          <w:t xml:space="preserve">[37]</w:t>
        </w:r>
      </w:hyperlink>
      <w:r>
        <w:br/>
      </w:r>
      <w:r>
        <w:t xml:space="preserve">They use cross-validation designs that reduce leakage when labels overlap time. López de Prado’s “purging” and “embargo” concepts are widely implemented in financial ML tooling precisely to avoid subtle look-ahead contamination.</w:t>
      </w:r>
      <w:r>
        <w:t xml:space="preserve"> </w:t>
      </w:r>
      <w:hyperlink r:id="rId63">
        <w:r>
          <w:rPr>
            <w:rStyle w:val="Hyperlink"/>
          </w:rPr>
          <w:t xml:space="preserve">[38]</w:t>
        </w:r>
      </w:hyperlink>
      <w:r>
        <w:br/>
      </w:r>
      <w:r>
        <w:t xml:space="preserve">They test for data snooping across large strategy sets using Reality Check / SPA / stepdown methods.</w:t>
      </w:r>
      <w:r>
        <w:t xml:space="preserve"> </w:t>
      </w:r>
      <w:hyperlink r:id="rId50">
        <w:r>
          <w:rPr>
            <w:rStyle w:val="Hyperlink"/>
          </w:rPr>
          <w:t xml:space="preserve">[39]</w:t>
        </w:r>
      </w:hyperlink>
      <w:r>
        <w:br/>
      </w:r>
      <w:r>
        <w:t xml:space="preserve">They demand robustness across subsamples and regimes because predictive relationships often fail out-of-sample (a core takeaway of return-prediction literature more broadly).</w:t>
      </w:r>
      <w:r>
        <w:t xml:space="preserve"> </w:t>
      </w:r>
      <w:hyperlink r:id="rId62">
        <w:r>
          <w:rPr>
            <w:rStyle w:val="Hyperlink"/>
          </w:rPr>
          <w:t xml:space="preserve">[40]</w:t>
        </w:r>
      </w:hyperlink>
    </w:p>
    <w:p>
      <w:pPr>
        <w:pStyle w:val="BodyText"/>
      </w:pPr>
      <w:r>
        <w:t xml:space="preserve">If you want a single guiding principle:</w:t>
      </w:r>
      <w:r>
        <w:t xml:space="preserve"> </w:t>
      </w:r>
      <w:r>
        <w:rPr>
          <w:b/>
          <w:bCs/>
        </w:rPr>
        <w:t xml:space="preserve">anything that influences model choice must be nested inside the training loop</w:t>
      </w:r>
      <w:r>
        <w:t xml:space="preserve">, and the final performance estimate must be produced by a process that did not “peek” (directly or indirectly) at the test period.</w:t>
      </w:r>
    </w:p>
    <w:bookmarkEnd w:id="64"/>
    <w:bookmarkEnd w:id="65"/>
    <w:bookmarkStart w:id="71" w:name="signal-timing-decay-and-regime-change"/>
    <w:p>
      <w:pPr>
        <w:pStyle w:val="Heading2"/>
      </w:pPr>
      <w:r>
        <w:t xml:space="preserve">Signal timing, decay and regime change</w:t>
      </w:r>
    </w:p>
    <w:bookmarkStart w:id="66" w:name="empirically-observed-lags-by-category"/>
    <w:p>
      <w:pPr>
        <w:pStyle w:val="Heading3"/>
      </w:pPr>
      <w:r>
        <w:t xml:space="preserve">Empirically observed lags by category</w:t>
      </w:r>
    </w:p>
    <w:p>
      <w:pPr>
        <w:pStyle w:val="FirstParagraph"/>
      </w:pPr>
      <w:r>
        <w:t xml:space="preserve">The “lag” is not one number; it depends on (i) the signal’s publication mechanics, (ii) who monitors it, and (iii) how hard it is to translate into valuation-relevant beliefs.</w:t>
      </w:r>
    </w:p>
    <w:p>
      <w:pPr>
        <w:pStyle w:val="BodyText"/>
      </w:pPr>
      <w:r>
        <w:t xml:space="preserve">Insider filings: Form 4s are due within</w:t>
      </w:r>
      <w:r>
        <w:t xml:space="preserve"> </w:t>
      </w:r>
      <w:r>
        <w:rPr>
          <w:b/>
          <w:bCs/>
        </w:rPr>
        <w:t xml:space="preserve">two business days</w:t>
      </w:r>
      <w:r>
        <w:t xml:space="preserve">, and empirically the abnormal returns to insider purchases in classic work accrue partly in the first week but also meaningfully over the first month, consistent with gradual incorporation.</w:t>
      </w:r>
      <w:r>
        <w:t xml:space="preserve"> </w:t>
      </w:r>
      <w:hyperlink r:id="rId26">
        <w:r>
          <w:rPr>
            <w:rStyle w:val="Hyperlink"/>
          </w:rPr>
          <w:t xml:space="preserve">[41]</w:t>
        </w:r>
      </w:hyperlink>
    </w:p>
    <w:p>
      <w:pPr>
        <w:pStyle w:val="BodyText"/>
      </w:pPr>
      <w:r>
        <w:t xml:space="preserve">Options activity: Pan &amp; Poteshman’s option-volume signal shows extremely fast predictive power (daily/weekly spreads), and they explicitly observe that predictability</w:t>
      </w:r>
      <w:r>
        <w:t xml:space="preserve"> </w:t>
      </w:r>
      <w:r>
        <w:rPr>
          <w:b/>
          <w:bCs/>
        </w:rPr>
        <w:t xml:space="preserve">dies out over several weeks</w:t>
      </w:r>
      <w:r>
        <w:t xml:space="preserve">, consistent with a short half-life.</w:t>
      </w:r>
      <w:r>
        <w:t xml:space="preserve"> </w:t>
      </w:r>
      <w:hyperlink r:id="rId28">
        <w:r>
          <w:rPr>
            <w:rStyle w:val="Hyperlink"/>
          </w:rPr>
          <w:t xml:space="preserve">[8]</w:t>
        </w:r>
      </w:hyperlink>
      <w:r>
        <w:br/>
      </w:r>
      <w:r>
        <w:t xml:space="preserve">But they also warn that their best measure is not publicly observable, which means retail proxies may have different lag/decay properties.</w:t>
      </w:r>
      <w:r>
        <w:t xml:space="preserve"> </w:t>
      </w:r>
      <w:hyperlink r:id="rId28">
        <w:r>
          <w:rPr>
            <w:rStyle w:val="Hyperlink"/>
          </w:rPr>
          <w:t xml:space="preserve">[8]</w:t>
        </w:r>
      </w:hyperlink>
    </w:p>
    <w:p>
      <w:pPr>
        <w:pStyle w:val="BodyText"/>
      </w:pPr>
      <w:r>
        <w:t xml:space="preserve">Google Trends / attention: Da–Engelberg–Gao find increased search attention predicts price increases over the</w:t>
      </w:r>
      <w:r>
        <w:t xml:space="preserve"> </w:t>
      </w:r>
      <w:r>
        <w:rPr>
          <w:b/>
          <w:bCs/>
        </w:rPr>
        <w:t xml:space="preserve">next ~two weeks</w:t>
      </w:r>
      <w:r>
        <w:t xml:space="preserve"> </w:t>
      </w:r>
      <w:r>
        <w:t xml:space="preserve">and a reversal within a year, consistent with attention-driven price pressure rather than durable compounding alpha.</w:t>
      </w:r>
      <w:r>
        <w:t xml:space="preserve"> </w:t>
      </w:r>
      <w:hyperlink r:id="rId29">
        <w:r>
          <w:rPr>
            <w:rStyle w:val="Hyperlink"/>
          </w:rPr>
          <w:t xml:space="preserve">[9]</w:t>
        </w:r>
      </w:hyperlink>
    </w:p>
    <w:p>
      <w:pPr>
        <w:pStyle w:val="BodyText"/>
      </w:pPr>
      <w:r>
        <w:t xml:space="preserve">App usage: The app-usage study reports relationships at the</w:t>
      </w:r>
      <w:r>
        <w:t xml:space="preserve"> </w:t>
      </w:r>
      <w:r>
        <w:rPr>
          <w:b/>
          <w:bCs/>
        </w:rPr>
        <w:t xml:space="preserve">monthly</w:t>
      </w:r>
      <w:r>
        <w:t xml:space="preserve"> </w:t>
      </w:r>
      <w:r>
        <w:t xml:space="preserve">frequency—abnormal app downloads/DAU associate with</w:t>
      </w:r>
      <w:r>
        <w:t xml:space="preserve"> </w:t>
      </w:r>
      <w:r>
        <w:rPr>
          <w:b/>
          <w:bCs/>
        </w:rPr>
        <w:t xml:space="preserve">next-month abnormal returns</w:t>
      </w:r>
      <w:r>
        <w:t xml:space="preserve">.</w:t>
      </w:r>
      <w:r>
        <w:t xml:space="preserve"> </w:t>
      </w:r>
      <w:hyperlink r:id="rId33">
        <w:r>
          <w:rPr>
            <w:rStyle w:val="Hyperlink"/>
          </w:rPr>
          <w:t xml:space="preserve">[13]</w:t>
        </w:r>
      </w:hyperlink>
      <w:r>
        <w:br/>
      </w:r>
      <w:r>
        <w:t xml:space="preserve">This suggests a slower market digestion path, but again, the input data in practice may be vendor-mediated.</w:t>
      </w:r>
    </w:p>
    <w:p>
      <w:pPr>
        <w:pStyle w:val="BodyText"/>
      </w:pPr>
      <w:r>
        <w:t xml:space="preserve">Job postings / labor networks: The labor-link study attributes predictability to investors not promptly incorporating labor-linked news; the resulting strategy is described at an annualized level (9% excess return), implying the signal is not purely intraday.</w:t>
      </w:r>
      <w:r>
        <w:t xml:space="preserve"> </w:t>
      </w:r>
      <w:hyperlink r:id="rId32">
        <w:r>
          <w:rPr>
            <w:rStyle w:val="Hyperlink"/>
          </w:rPr>
          <w:t xml:space="preserve">[12]</w:t>
        </w:r>
      </w:hyperlink>
    </w:p>
    <w:p>
      <w:pPr>
        <w:pStyle w:val="BodyText"/>
      </w:pPr>
      <w:r>
        <w:t xml:space="preserve">SEC filing text: Textual analysis evidence supports that filings contain information correlated with returns and related variables, but “reaction time” will vary: headlines are fast; nuanced textual changes may be slower.</w:t>
      </w:r>
      <w:r>
        <w:t xml:space="preserve"> </w:t>
      </w:r>
      <w:hyperlink r:id="rId30">
        <w:r>
          <w:rPr>
            <w:rStyle w:val="Hyperlink"/>
          </w:rPr>
          <w:t xml:space="preserve">[42]</w:t>
        </w:r>
      </w:hyperlink>
    </w:p>
    <w:p>
      <w:pPr>
        <w:pStyle w:val="BodyText"/>
      </w:pPr>
      <w:r>
        <w:t xml:space="preserve">Sentiment: Tetlock’s media pessimism result is daily and driven by short-horizon pressure and reversion patterns.</w:t>
      </w:r>
      <w:r>
        <w:t xml:space="preserve"> </w:t>
      </w:r>
      <w:hyperlink r:id="rId31">
        <w:r>
          <w:rPr>
            <w:rStyle w:val="Hyperlink"/>
          </w:rPr>
          <w:t xml:space="preserve">[11]</w:t>
        </w:r>
      </w:hyperlink>
    </w:p>
    <w:bookmarkEnd w:id="66"/>
    <w:bookmarkStart w:id="68" w:name="X640d52814df346f7fde341ac791d7e65925fed7"/>
    <w:p>
      <w:pPr>
        <w:pStyle w:val="Heading3"/>
      </w:pPr>
      <w:r>
        <w:t xml:space="preserve">How fast do alternative-data edges get arbitraged away?</w:t>
      </w:r>
    </w:p>
    <w:p>
      <w:pPr>
        <w:pStyle w:val="FirstParagraph"/>
      </w:pPr>
      <w:r>
        <w:t xml:space="preserve">There is strong evidence that</w:t>
      </w:r>
      <w:r>
        <w:t xml:space="preserve"> </w:t>
      </w:r>
      <w:r>
        <w:rPr>
          <w:i/>
          <w:iCs/>
        </w:rPr>
        <w:t xml:space="preserve">once return predictors become known</w:t>
      </w:r>
      <w:r>
        <w:t xml:space="preserve">, their returns decline—especially in the U.S.</w:t>
      </w:r>
    </w:p>
    <w:p>
      <w:pPr>
        <w:pStyle w:val="BodyText"/>
      </w:pPr>
      <w:r>
        <w:t xml:space="preserve">McLean &amp; Pontiff find the average predictor’s long–short return shrinks materially post-publication (they report a ~58% shrink), consistent with learning/crowding and/or statistical bias being revealed out-of-sample.</w:t>
      </w:r>
      <w:r>
        <w:t xml:space="preserve"> </w:t>
      </w:r>
      <w:hyperlink r:id="rId39">
        <w:r>
          <w:rPr>
            <w:rStyle w:val="Hyperlink"/>
          </w:rPr>
          <w:t xml:space="preserve">[17]</w:t>
        </w:r>
      </w:hyperlink>
      <w:r>
        <w:br/>
      </w:r>
      <w:r>
        <w:t xml:space="preserve">A meta-analysis across many countries finds the U.S. is the only country with a reliable post-publication decline, aligning with the idea that U.S. equity markets are among the most aggressively arbitraged.</w:t>
      </w:r>
      <w:r>
        <w:t xml:space="preserve"> </w:t>
      </w:r>
      <w:hyperlink r:id="rId40">
        <w:r>
          <w:rPr>
            <w:rStyle w:val="Hyperlink"/>
          </w:rPr>
          <w:t xml:space="preserve">[18]</w:t>
        </w:r>
      </w:hyperlink>
    </w:p>
    <w:p>
      <w:pPr>
        <w:pStyle w:val="BodyText"/>
      </w:pPr>
      <w:r>
        <w:t xml:space="preserve">Ed Thorp (as summarized in a review by Burton Malkiel) conveys essentially the same market-ecology lesson: arbitrage opportunities tend to disappear as they are exploited; once more money competes for them, returns diminish—“pick up the $100 bill right away because if it is really a $100 bill it will not be there for long.”</w:t>
      </w:r>
      <w:r>
        <w:t xml:space="preserve"> </w:t>
      </w:r>
      <w:hyperlink r:id="rId67">
        <w:r>
          <w:rPr>
            <w:rStyle w:val="Hyperlink"/>
          </w:rPr>
          <w:t xml:space="preserve">[43]</w:t>
        </w:r>
      </w:hyperlink>
    </w:p>
    <w:p>
      <w:pPr>
        <w:pStyle w:val="BodyText"/>
      </w:pPr>
      <w:r>
        <w:t xml:space="preserve">This is exactly the AMH worldview: edges decay with competition and adaptation.</w:t>
      </w:r>
      <w:r>
        <w:t xml:space="preserve"> </w:t>
      </w:r>
      <w:hyperlink r:id="rId22">
        <w:r>
          <w:rPr>
            <w:rStyle w:val="Hyperlink"/>
          </w:rPr>
          <w:t xml:space="preserve">[3]</w:t>
        </w:r>
      </w:hyperlink>
    </w:p>
    <w:bookmarkEnd w:id="68"/>
    <w:bookmarkStart w:id="70" w:name="X77b55ffdcec7a1fbb0fb90805198cbfdd9bc9a5"/>
    <w:p>
      <w:pPr>
        <w:pStyle w:val="Heading3"/>
      </w:pPr>
      <w:r>
        <w:t xml:space="preserve">How do you detect regime change and adapt signal weights?</w:t>
      </w:r>
    </w:p>
    <w:p>
      <w:pPr>
        <w:pStyle w:val="FirstParagraph"/>
      </w:pPr>
      <w:r>
        <w:t xml:space="preserve">Academically and in practice, you’re in “concept drift” territory: the distribution generating returns changes.</w:t>
      </w:r>
    </w:p>
    <w:p>
      <w:pPr>
        <w:pStyle w:val="BodyText"/>
      </w:pPr>
      <w:r>
        <w:t xml:space="preserve">Lo’s AMH frames regime change as endogenous: market participants adapt, and relationships that once worked can stop working as the environment changes.</w:t>
      </w:r>
      <w:r>
        <w:t xml:space="preserve"> </w:t>
      </w:r>
      <w:hyperlink r:id="rId22">
        <w:r>
          <w:rPr>
            <w:rStyle w:val="Hyperlink"/>
          </w:rPr>
          <w:t xml:space="preserve">[2]</w:t>
        </w:r>
      </w:hyperlink>
    </w:p>
    <w:p>
      <w:pPr>
        <w:pStyle w:val="BodyText"/>
      </w:pPr>
      <w:r>
        <w:t xml:space="preserve">In quant practice, adaptive weighting usually combines:</w:t>
      </w:r>
    </w:p>
    <w:p>
      <w:pPr>
        <w:pStyle w:val="BodyText"/>
      </w:pPr>
      <w:r>
        <w:t xml:space="preserve">Rolling / expanding window performance monitoring (with explicit statistical uncertainty; Lo 2002 shows performance metrics like Sharpe have large estimation error).</w:t>
      </w:r>
      <w:r>
        <w:t xml:space="preserve"> </w:t>
      </w:r>
      <w:hyperlink r:id="rId52">
        <w:r>
          <w:rPr>
            <w:rStyle w:val="Hyperlink"/>
          </w:rPr>
          <w:t xml:space="preserve">[29]</w:t>
        </w:r>
      </w:hyperlink>
      <w:r>
        <w:br/>
      </w:r>
      <w:r>
        <w:t xml:space="preserve">Selection-bias-aware metrics like the Deflated Sharpe Ratio to avoid chasing noise when you are testing many candidate variants.</w:t>
      </w:r>
      <w:r>
        <w:t xml:space="preserve"> </w:t>
      </w:r>
      <w:hyperlink r:id="rId60">
        <w:r>
          <w:rPr>
            <w:rStyle w:val="Hyperlink"/>
          </w:rPr>
          <w:t xml:space="preserve">[44]</w:t>
        </w:r>
      </w:hyperlink>
      <w:r>
        <w:br/>
      </w:r>
      <w:r>
        <w:t xml:space="preserve">Online or periodic re-estimation with strict out-of-sample protocols (purging/embargo concepts are common in financial ML implementations).</w:t>
      </w:r>
      <w:r>
        <w:t xml:space="preserve"> </w:t>
      </w:r>
      <w:hyperlink r:id="rId69">
        <w:r>
          <w:rPr>
            <w:rStyle w:val="Hyperlink"/>
          </w:rPr>
          <w:t xml:space="preserve">[45]</w:t>
        </w:r>
      </w:hyperlink>
    </w:p>
    <w:p>
      <w:pPr>
        <w:pStyle w:val="BodyText"/>
      </w:pPr>
      <w:r>
        <w:t xml:space="preserve">The hard truth: “adaptive” can easily become “overfit faster.” The more frequently you re-optimize weights on one stock, the more you risk manufacturing patterns from noise—precisely the problem Bailey et al. formalize.</w:t>
      </w:r>
      <w:r>
        <w:t xml:space="preserve"> </w:t>
      </w:r>
      <w:hyperlink r:id="rId43">
        <w:r>
          <w:rPr>
            <w:rStyle w:val="Hyperlink"/>
          </w:rPr>
          <w:t xml:space="preserve">[46]</w:t>
        </w:r>
      </w:hyperlink>
    </w:p>
    <w:bookmarkEnd w:id="70"/>
    <w:bookmarkEnd w:id="71"/>
    <w:bookmarkStart w:id="77" w:name="X163271bab55a13c3610c16442000d9523444a37"/>
    <w:p>
      <w:pPr>
        <w:pStyle w:val="Heading2"/>
      </w:pPr>
      <w:r>
        <w:t xml:space="preserve">Signal combination and portfolio construction</w:t>
      </w:r>
    </w:p>
    <w:bookmarkStart w:id="74" w:name="Xd8eeb9d573972ecba8bf63cb189237725af751d"/>
    <w:p>
      <w:pPr>
        <w:pStyle w:val="Heading3"/>
      </w:pPr>
      <w:r>
        <w:t xml:space="preserve">Is the edge in single signals or in combining many weak ones?</w:t>
      </w:r>
    </w:p>
    <w:p>
      <w:pPr>
        <w:pStyle w:val="FirstParagraph"/>
      </w:pPr>
      <w:r>
        <w:t xml:space="preserve">Most elite quantitative investors would say the scalable edge is usually in</w:t>
      </w:r>
      <w:r>
        <w:t xml:space="preserve"> </w:t>
      </w:r>
      <w:r>
        <w:rPr>
          <w:b/>
          <w:bCs/>
        </w:rPr>
        <w:t xml:space="preserve">combining many weak signals</w:t>
      </w:r>
      <w:r>
        <w:t xml:space="preserve">—not because each weak signal is “true,” but because diversification can convert small, noisy predictive correlations into something tradable if the signals are imperfectly correlated.</w:t>
      </w:r>
    </w:p>
    <w:p>
      <w:pPr>
        <w:pStyle w:val="BodyText"/>
      </w:pPr>
      <w:r>
        <w:t xml:space="preserve">Combining forecasts is a foundational result in forecasting research: Bates &amp; Granger (1969) showed that combining forecasts can improve forecast accuracy.</w:t>
      </w:r>
      <w:r>
        <w:t xml:space="preserve"> </w:t>
      </w:r>
      <w:hyperlink r:id="rId72">
        <w:r>
          <w:rPr>
            <w:rStyle w:val="Hyperlink"/>
          </w:rPr>
          <w:t xml:space="preserve">[47]</w:t>
        </w:r>
      </w:hyperlink>
      <w:r>
        <w:br/>
      </w:r>
      <w:r>
        <w:t xml:space="preserve">In quant equity practice, this idea reappears as “multi-signal models,” where each feature has tiny information content, but the ensemble is stronger.</w:t>
      </w:r>
    </w:p>
    <w:p>
      <w:pPr>
        <w:pStyle w:val="BodyText"/>
      </w:pPr>
      <w:r>
        <w:t xml:space="preserve">AQR’s practitioner-academic work illustrates the power of combining robust signals: they cite a diversified portfolio of value, momentum, and defensive/quality factors with high historical statistical strength (e.g., a Sharpe around ~1.1 and high t-stat in long samples).</w:t>
      </w:r>
      <w:r>
        <w:t xml:space="preserve"> </w:t>
      </w:r>
      <w:hyperlink r:id="rId73">
        <w:r>
          <w:rPr>
            <w:rStyle w:val="Hyperlink"/>
          </w:rPr>
          <w:t xml:space="preserve">[48]</w:t>
        </w:r>
      </w:hyperlink>
      <w:r>
        <w:br/>
      </w:r>
      <w:r>
        <w:t xml:space="preserve">Even if you don’t trade AQR-style factors, the key point is structural:</w:t>
      </w:r>
      <w:r>
        <w:t xml:space="preserve"> </w:t>
      </w:r>
      <w:r>
        <w:rPr>
          <w:b/>
          <w:bCs/>
        </w:rPr>
        <w:t xml:space="preserve">diversification across signals</w:t>
      </w:r>
      <w:r>
        <w:t xml:space="preserve"> </w:t>
      </w:r>
      <w:r>
        <w:t xml:space="preserve">can raise robustness, provided the signals aren’t all the same disguised variable.</w:t>
      </w:r>
    </w:p>
    <w:bookmarkEnd w:id="74"/>
    <w:bookmarkStart w:id="75" w:name="Xa9b10b1749e8603d578c4612f9b686c8690d3ba"/>
    <w:p>
      <w:pPr>
        <w:pStyle w:val="Heading3"/>
      </w:pPr>
      <w:r>
        <w:t xml:space="preserve">Best practices when combining heterogeneous signals</w:t>
      </w:r>
    </w:p>
    <w:p>
      <w:pPr>
        <w:pStyle w:val="FirstParagraph"/>
      </w:pPr>
      <w:r>
        <w:t xml:space="preserve">From a “best firms” perspective, combining signals safely is 80% data hygiene and statistical discipline:</w:t>
      </w:r>
    </w:p>
    <w:p>
      <w:pPr>
        <w:pStyle w:val="BodyText"/>
      </w:pPr>
      <w:r>
        <w:t xml:space="preserve">Normalize within comparable groups (e.g., cross-sectional ranks / z-scores at each date) to prevent scaling artifacts from masquerading as alpha. The textual-analysis literature itself warns that naive methods (generic dictionaries) misclassify financial language—an analogy for why naive preprocessing breaks signals.</w:t>
      </w:r>
      <w:r>
        <w:t xml:space="preserve"> </w:t>
      </w:r>
      <w:hyperlink r:id="rId30">
        <w:r>
          <w:rPr>
            <w:rStyle w:val="Hyperlink"/>
          </w:rPr>
          <w:t xml:space="preserve">[42]</w:t>
        </w:r>
      </w:hyperlink>
    </w:p>
    <w:p>
      <w:pPr>
        <w:pStyle w:val="BodyText"/>
      </w:pPr>
      <w:r>
        <w:t xml:space="preserve">Align by “as-of” timestamps to eliminate subtle look-ahead. SEC filing delays (Form 4 due in two business days; 13F due 45 days after quarter-end; Form 144 notice requirements) are concrete examples where wrong alignment fabricates alpha.</w:t>
      </w:r>
      <w:r>
        <w:t xml:space="preserve"> </w:t>
      </w:r>
      <w:hyperlink r:id="rId26">
        <w:r>
          <w:rPr>
            <w:rStyle w:val="Hyperlink"/>
          </w:rPr>
          <w:t xml:space="preserve">[49]</w:t>
        </w:r>
      </w:hyperlink>
    </w:p>
    <w:p>
      <w:pPr>
        <w:pStyle w:val="BodyText"/>
      </w:pPr>
      <w:r>
        <w:t xml:space="preserve">Use regularization/shrinkage and demand out-of-sample stability because multiple testing in finance produces many false positives; Harvey–Liu–Zhu’s higher t-stat hurdle and Bailey et al.’s overfitting framework exist for a reason.</w:t>
      </w:r>
      <w:r>
        <w:t xml:space="preserve"> </w:t>
      </w:r>
      <w:hyperlink r:id="rId25">
        <w:r>
          <w:rPr>
            <w:rStyle w:val="Hyperlink"/>
          </w:rPr>
          <w:t xml:space="preserve">[50]</w:t>
        </w:r>
      </w:hyperlink>
    </w:p>
    <w:bookmarkEnd w:id="75"/>
    <w:bookmarkStart w:id="76" w:name="X86d23ed55b369e04e496e4f234c8bb4393d3660"/>
    <w:p>
      <w:pPr>
        <w:pStyle w:val="Heading3"/>
      </w:pPr>
      <w:r>
        <w:t xml:space="preserve">Single-stock strategies and the diversification problem</w:t>
      </w:r>
    </w:p>
    <w:p>
      <w:pPr>
        <w:pStyle w:val="FirstParagraph"/>
      </w:pPr>
      <w:r>
        <w:t xml:space="preserve">This is the point where many “world-class” investors would push back hardest on your current test case.</w:t>
      </w:r>
    </w:p>
    <w:p>
      <w:pPr>
        <w:pStyle w:val="BodyText"/>
      </w:pPr>
      <w:r>
        <w:t xml:space="preserve">Most alternative-data equity strategies in academia are implemented as</w:t>
      </w:r>
      <w:r>
        <w:t xml:space="preserve"> </w:t>
      </w:r>
      <w:r>
        <w:rPr>
          <w:b/>
          <w:bCs/>
        </w:rPr>
        <w:t xml:space="preserve">cross-sectional long–short portfolios</w:t>
      </w:r>
      <w:r>
        <w:t xml:space="preserve"> </w:t>
      </w:r>
      <w:r>
        <w:t xml:space="preserve">because diversification across many stocks reduces idiosyncratic noise and makes tiny predictive effects measurable. The job-postings labor-link strategy is explicitly long–short.</w:t>
      </w:r>
      <w:r>
        <w:t xml:space="preserve"> </w:t>
      </w:r>
      <w:hyperlink r:id="rId32">
        <w:r>
          <w:rPr>
            <w:rStyle w:val="Hyperlink"/>
          </w:rPr>
          <w:t xml:space="preserve">[12]</w:t>
        </w:r>
      </w:hyperlink>
      <w:r>
        <w:br/>
      </w:r>
      <w:r>
        <w:t xml:space="preserve">The option-volume result is also driven by cross-sectional sorting into quintiles.</w:t>
      </w:r>
      <w:r>
        <w:t xml:space="preserve"> </w:t>
      </w:r>
      <w:hyperlink r:id="rId28">
        <w:r>
          <w:rPr>
            <w:rStyle w:val="Hyperlink"/>
          </w:rPr>
          <w:t xml:space="preserve">[8]</w:t>
        </w:r>
      </w:hyperlink>
      <w:r>
        <w:br/>
      </w:r>
      <w:r>
        <w:t xml:space="preserve">The insider trading results are presented as rolling portfolios across many firms.</w:t>
      </w:r>
      <w:r>
        <w:t xml:space="preserve"> </w:t>
      </w:r>
      <w:hyperlink r:id="rId27">
        <w:r>
          <w:rPr>
            <w:rStyle w:val="Hyperlink"/>
          </w:rPr>
          <w:t xml:space="preserve">[7]</w:t>
        </w:r>
      </w:hyperlink>
    </w:p>
    <w:p>
      <w:pPr>
        <w:pStyle w:val="BodyText"/>
      </w:pPr>
      <w:r>
        <w:t xml:space="preserve">A single-stock system (Uber only) throws away the biggest structural advantage systematic investors rely on:</w:t>
      </w:r>
      <w:r>
        <w:t xml:space="preserve"> </w:t>
      </w:r>
      <w:r>
        <w:rPr>
          <w:b/>
          <w:bCs/>
        </w:rPr>
        <w:t xml:space="preserve">breadth</w:t>
      </w:r>
      <w:r>
        <w:t xml:space="preserve">.</w:t>
      </w:r>
    </w:p>
    <w:p>
      <w:pPr>
        <w:pStyle w:val="BodyText"/>
      </w:pPr>
      <w:r>
        <w:t xml:space="preserve">If your broader engine eventually expands to many stocks, Uber is a fine engineering testbed. But if your intention is to trade Uber only, you are asking 332 signals to beat a near-random daily return process with limited sample size—exactly what the equity-premium prediction literature warns tends to fail out-of-sample.</w:t>
      </w:r>
      <w:r>
        <w:t xml:space="preserve"> </w:t>
      </w:r>
      <w:hyperlink r:id="rId62">
        <w:r>
          <w:rPr>
            <w:rStyle w:val="Hyperlink"/>
          </w:rPr>
          <w:t xml:space="preserve">[40]</w:t>
        </w:r>
      </w:hyperlink>
    </w:p>
    <w:bookmarkEnd w:id="76"/>
    <w:bookmarkEnd w:id="77"/>
    <w:bookmarkStart w:id="84" w:name="practical-tradability-and-edge-sizing"/>
    <w:p>
      <w:pPr>
        <w:pStyle w:val="Heading2"/>
      </w:pPr>
      <w:r>
        <w:t xml:space="preserve">Practical tradability and edge sizing</w:t>
      </w:r>
    </w:p>
    <w:bookmarkStart w:id="78" w:name="Xbb971fa2c64a84f7327a5277f95d08ead911fb5"/>
    <w:p>
      <w:pPr>
        <w:pStyle w:val="Heading3"/>
      </w:pPr>
      <w:r>
        <w:t xml:space="preserve">What constitutes a “tradeable edge” after costs and delays?</w:t>
      </w:r>
    </w:p>
    <w:p>
      <w:pPr>
        <w:pStyle w:val="FirstParagraph"/>
      </w:pPr>
      <w:r>
        <w:t xml:space="preserve">There is no universal cutoff, but top practitioners converge on three principles:</w:t>
      </w:r>
    </w:p>
    <w:p>
      <w:pPr>
        <w:pStyle w:val="BodyText"/>
      </w:pPr>
      <w:r>
        <w:t xml:space="preserve">The edge must be large enough to survive costs and model error. Lo shows Sharpe ratio estimates are statistically noisy and can be materially distorted by serial correlation; naive Sharpe comparisons can be badly misleading.</w:t>
      </w:r>
      <w:r>
        <w:t xml:space="preserve"> </w:t>
      </w:r>
      <w:hyperlink r:id="rId52">
        <w:r>
          <w:rPr>
            <w:rStyle w:val="Hyperlink"/>
          </w:rPr>
          <w:t xml:space="preserve">[29]</w:t>
        </w:r>
      </w:hyperlink>
    </w:p>
    <w:p>
      <w:pPr>
        <w:pStyle w:val="BodyText"/>
      </w:pPr>
      <w:r>
        <w:t xml:space="preserve">The edge must be robust to selection bias. Bailey &amp; López de Prado’s Deflated Sharpe Ratio explicitly corrects for selection bias/backtest overfitting and non-normality—i.e., the reality of searching across many candidate signals.</w:t>
      </w:r>
      <w:r>
        <w:t xml:space="preserve"> </w:t>
      </w:r>
      <w:hyperlink r:id="rId60">
        <w:r>
          <w:rPr>
            <w:rStyle w:val="Hyperlink"/>
          </w:rPr>
          <w:t xml:space="preserve">[44]</w:t>
        </w:r>
      </w:hyperlink>
    </w:p>
    <w:p>
      <w:pPr>
        <w:pStyle w:val="BodyText"/>
      </w:pPr>
      <w:r>
        <w:t xml:space="preserve">The edge must persist out-of-sample in a way consistent with market ecology. AMH predicts edges are cyclical: profitable for a while, then crowded away.</w:t>
      </w:r>
      <w:r>
        <w:t xml:space="preserve"> </w:t>
      </w:r>
      <w:hyperlink r:id="rId22">
        <w:r>
          <w:rPr>
            <w:rStyle w:val="Hyperlink"/>
          </w:rPr>
          <w:t xml:space="preserve">[3]</w:t>
        </w:r>
      </w:hyperlink>
    </w:p>
    <w:p>
      <w:pPr>
        <w:pStyle w:val="BodyText"/>
      </w:pPr>
      <w:r>
        <w:t xml:space="preserve">For a</w:t>
      </w:r>
      <w:r>
        <w:t xml:space="preserve"> </w:t>
      </w:r>
      <w:r>
        <w:rPr>
          <w:i/>
          <w:iCs/>
        </w:rPr>
        <w:t xml:space="preserve">single-stock</w:t>
      </w:r>
      <w:r>
        <w:t xml:space="preserve"> </w:t>
      </w:r>
      <w:r>
        <w:t xml:space="preserve">daily strategy, a “tradeable” edge usually requires very high confidence because you cannot rely on cross-sectional diversification to stabilize results. That is why many sophisticated investors would treat a single-stock signal as either (i) a</w:t>
      </w:r>
      <w:r>
        <w:t xml:space="preserve"> </w:t>
      </w:r>
      <w:r>
        <w:rPr>
          <w:b/>
          <w:bCs/>
        </w:rPr>
        <w:t xml:space="preserve">risk control / timing input</w:t>
      </w:r>
      <w:r>
        <w:t xml:space="preserve">, not a primary alpha engine, or (ii) an</w:t>
      </w:r>
      <w:r>
        <w:t xml:space="preserve"> </w:t>
      </w:r>
      <w:r>
        <w:rPr>
          <w:b/>
          <w:bCs/>
        </w:rPr>
        <w:t xml:space="preserve">event-driven</w:t>
      </w:r>
      <w:r>
        <w:t xml:space="preserve"> </w:t>
      </w:r>
      <w:r>
        <w:t xml:space="preserve">strategy (rare trades, higher signal-to-noise).</w:t>
      </w:r>
    </w:p>
    <w:bookmarkEnd w:id="78"/>
    <w:bookmarkStart w:id="80" w:name="X1c990e52ac848e44bdaebfc666c3b3369e60ffc"/>
    <w:p>
      <w:pPr>
        <w:pStyle w:val="Heading3"/>
      </w:pPr>
      <w:r>
        <w:t xml:space="preserve">Realistic return expectations for alternative-data strategies on liquid U.S. equities</w:t>
      </w:r>
    </w:p>
    <w:p>
      <w:pPr>
        <w:pStyle w:val="FirstParagraph"/>
      </w:pPr>
      <w:r>
        <w:t xml:space="preserve">Precise expectations are not well-established publicly because the best results are proprietary and capacity-constrained. What the literature supports is:</w:t>
      </w:r>
    </w:p>
    <w:p>
      <w:pPr>
        <w:pStyle w:val="BodyText"/>
      </w:pPr>
      <w:r>
        <w:t xml:space="preserve">Many published return predictors weaken after discovery (often materially).</w:t>
      </w:r>
      <w:r>
        <w:t xml:space="preserve"> </w:t>
      </w:r>
      <w:hyperlink r:id="rId39">
        <w:r>
          <w:rPr>
            <w:rStyle w:val="Hyperlink"/>
          </w:rPr>
          <w:t xml:space="preserve">[34]</w:t>
        </w:r>
      </w:hyperlink>
      <w:r>
        <w:br/>
      </w:r>
      <w:r>
        <w:t xml:space="preserve">Market-timing style prediction is notoriously unstable out-of-sample.</w:t>
      </w:r>
      <w:r>
        <w:t xml:space="preserve"> </w:t>
      </w:r>
      <w:hyperlink r:id="rId62">
        <w:r>
          <w:rPr>
            <w:rStyle w:val="Hyperlink"/>
          </w:rPr>
          <w:t xml:space="preserve">[51]</w:t>
        </w:r>
      </w:hyperlink>
      <w:r>
        <w:br/>
      </w:r>
      <w:r>
        <w:t xml:space="preserve">Cross-sectional multi-signal/factor portfolios have historical evidence of meaningful premia over long samples (AQR’s composite factor example is one illustration), but even here there is ongoing debate about crowding and post-discovery performance.</w:t>
      </w:r>
      <w:r>
        <w:t xml:space="preserve"> </w:t>
      </w:r>
      <w:hyperlink r:id="rId79">
        <w:r>
          <w:rPr>
            <w:rStyle w:val="Hyperlink"/>
          </w:rPr>
          <w:t xml:space="preserve">[52]</w:t>
        </w:r>
      </w:hyperlink>
    </w:p>
    <w:p>
      <w:pPr>
        <w:pStyle w:val="BodyText"/>
      </w:pPr>
      <w:r>
        <w:t xml:space="preserve">A brutally honest institutional-style takeaway:</w:t>
      </w:r>
      <w:r>
        <w:t xml:space="preserve"> </w:t>
      </w:r>
      <w:r>
        <w:rPr>
          <w:b/>
          <w:bCs/>
        </w:rPr>
        <w:t xml:space="preserve">expect incremental edges</w:t>
      </w:r>
      <w:r>
        <w:t xml:space="preserve">, not magic. Alternative data is often used to</w:t>
      </w:r>
      <w:r>
        <w:t xml:space="preserve"> </w:t>
      </w:r>
      <w:r>
        <w:rPr>
          <w:b/>
          <w:bCs/>
        </w:rPr>
        <w:t xml:space="preserve">slightly improve forecasting of fundamentals</w:t>
      </w:r>
      <w:r>
        <w:t xml:space="preserve"> </w:t>
      </w:r>
      <w:r>
        <w:t xml:space="preserve">or</w:t>
      </w:r>
      <w:r>
        <w:t xml:space="preserve"> </w:t>
      </w:r>
      <w:r>
        <w:rPr>
          <w:b/>
          <w:bCs/>
        </w:rPr>
        <w:t xml:space="preserve">slightly improve a ranking model</w:t>
      </w:r>
      <w:r>
        <w:t xml:space="preserve">, not to generate stand-alone “print money” signals for one mega-cap stock.</w:t>
      </w:r>
    </w:p>
    <w:bookmarkEnd w:id="80"/>
    <w:bookmarkStart w:id="83" w:name="X576cf7c55dbbb4733b76070e4cecd772871d72d"/>
    <w:p>
      <w:pPr>
        <w:pStyle w:val="Heading3"/>
      </w:pPr>
      <w:r>
        <w:t xml:space="preserve">Position sizing and risk management when predictive power is weak</w:t>
      </w:r>
    </w:p>
    <w:p>
      <w:pPr>
        <w:pStyle w:val="FirstParagraph"/>
      </w:pPr>
      <w:r>
        <w:t xml:space="preserve">When signals have low but statistically significant predictive power, “best practice” risk management shifts emphasis away from conviction and toward robustness:</w:t>
      </w:r>
    </w:p>
    <w:p>
      <w:pPr>
        <w:pStyle w:val="BodyText"/>
      </w:pPr>
      <w:r>
        <w:t xml:space="preserve">Use conservative sizing because parameter uncertainty is large; the Probabilistic Sharpe Ratio and related work explicitly highlight how track record length and distributional properties affect inference.</w:t>
      </w:r>
      <w:r>
        <w:t xml:space="preserve"> </w:t>
      </w:r>
      <w:hyperlink r:id="rId81">
        <w:r>
          <w:rPr>
            <w:rStyle w:val="Hyperlink"/>
          </w:rPr>
          <w:t xml:space="preserve">[53]</w:t>
        </w:r>
      </w:hyperlink>
      <w:r>
        <w:br/>
      </w:r>
      <w:r>
        <w:t xml:space="preserve">Treat signals as noisy estimates that must be diversified; the moment you concentrate on one name, estimation error dominates. This is consistent with how most published alternatives-data anomalies are constructed (portfolio sorts).</w:t>
      </w:r>
      <w:r>
        <w:t xml:space="preserve"> </w:t>
      </w:r>
      <w:hyperlink r:id="rId28">
        <w:r>
          <w:rPr>
            <w:rStyle w:val="Hyperlink"/>
          </w:rPr>
          <w:t xml:space="preserve">[54]</w:t>
        </w:r>
      </w:hyperlink>
      <w:r>
        <w:br/>
      </w:r>
      <w:r>
        <w:t xml:space="preserve">Ed Thorp’s legacy message (in AQR’s interview framing) emphasizes testing ideas against data and being disciplined about risk; his long record is described as profitable for decades in part through systematic arbitrage methods and risk control.</w:t>
      </w:r>
      <w:r>
        <w:t xml:space="preserve"> </w:t>
      </w:r>
      <w:hyperlink r:id="rId82">
        <w:r>
          <w:rPr>
            <w:rStyle w:val="Hyperlink"/>
          </w:rPr>
          <w:t xml:space="preserve">[55]</w:t>
        </w:r>
      </w:hyperlink>
    </w:p>
    <w:bookmarkEnd w:id="83"/>
    <w:bookmarkEnd w:id="84"/>
    <w:bookmarkStart w:id="92" w:name="what-the-best-investors-actually-believe"/>
    <w:p>
      <w:pPr>
        <w:pStyle w:val="Heading2"/>
      </w:pPr>
      <w:r>
        <w:t xml:space="preserve">What the best investors actually believe</w:t>
      </w:r>
    </w:p>
    <w:bookmarkStart w:id="88" w:name="X9b52bbae51f590026ea9aed227e5bc718d6a4e9"/>
    <w:p>
      <w:pPr>
        <w:pStyle w:val="Heading3"/>
      </w:pPr>
      <w:r>
        <w:t xml:space="preserve">Simons, Dalio, Asness, Thorp and Lo on whether (public) alternative data provides edge</w:t>
      </w:r>
    </w:p>
    <w:p>
      <w:pPr>
        <w:pStyle w:val="FirstParagraph"/>
      </w:pPr>
      <w:r>
        <w:t xml:space="preserve">Jim Simons / Renaissance: Public details are limited, but credible reporting emphasizes Renaissance’s data-driven, automated approach and extraordinary long-run performance for Medallion (reported averages on the order of ~66% pre-fee and ~39% net over long periods in widely cited coverage).</w:t>
      </w:r>
      <w:r>
        <w:t xml:space="preserve"> </w:t>
      </w:r>
      <w:hyperlink r:id="rId85">
        <w:r>
          <w:rPr>
            <w:rStyle w:val="Hyperlink"/>
          </w:rPr>
          <w:t xml:space="preserve">[56]</w:t>
        </w:r>
      </w:hyperlink>
      <w:r>
        <w:br/>
      </w:r>
      <w:r>
        <w:t xml:space="preserve">The Renaissance lesson isn’t “alternative data is easy”; it’s that systematic edge required (a)</w:t>
      </w:r>
      <w:r>
        <w:t xml:space="preserve"> </w:t>
      </w:r>
      <w:r>
        <w:rPr>
          <w:b/>
          <w:bCs/>
        </w:rPr>
        <w:t xml:space="preserve">massive research iteration</w:t>
      </w:r>
      <w:r>
        <w:t xml:space="preserve">, (b) operational excellence, and (c) a willingness to treat markets as an empirical science—while keeping methods secret to slow down crowding.</w:t>
      </w:r>
    </w:p>
    <w:p>
      <w:pPr>
        <w:pStyle w:val="BodyText"/>
      </w:pPr>
      <w:r>
        <w:t xml:space="preserve">Ray Dalio / Bridgewater: Dalio’s explicit philosophy is to</w:t>
      </w:r>
      <w:r>
        <w:t xml:space="preserve"> </w:t>
      </w:r>
      <w:r>
        <w:rPr>
          <w:b/>
          <w:bCs/>
        </w:rPr>
        <w:t xml:space="preserve">systematize decision criteria into algorithms</w:t>
      </w:r>
      <w:r>
        <w:t xml:space="preserve"> </w:t>
      </w:r>
      <w:r>
        <w:t xml:space="preserve">and run them alongside human judgment; he describes embedding decision-making criteria into computers and learning from parallel comparison.</w:t>
      </w:r>
      <w:r>
        <w:t xml:space="preserve"> </w:t>
      </w:r>
      <w:hyperlink r:id="rId86">
        <w:r>
          <w:rPr>
            <w:rStyle w:val="Hyperlink"/>
          </w:rPr>
          <w:t xml:space="preserve">[57]</w:t>
        </w:r>
      </w:hyperlink>
      <w:r>
        <w:br/>
      </w:r>
      <w:r>
        <w:t xml:space="preserve">Dalio’s core “edge” historically is macro understanding and diversified systematic implementation, not single-stock alternative data. His worldview does align with your approach in one sense: be explicit, testable, and rules-based.</w:t>
      </w:r>
    </w:p>
    <w:p>
      <w:pPr>
        <w:pStyle w:val="BodyText"/>
      </w:pPr>
      <w:r>
        <w:t xml:space="preserve">Cliff Asness / AQR: Asness is unusually vocal about “factor zoo” problems, data mining, and the need for robust evidence; AQR’s writing explicitly engages with criticisms that backtests disappoint post-discovery and emphasizes robustness/out-of-sample thinking and high standards.</w:t>
      </w:r>
      <w:r>
        <w:t xml:space="preserve"> </w:t>
      </w:r>
      <w:hyperlink r:id="rId87">
        <w:r>
          <w:rPr>
            <w:rStyle w:val="Hyperlink"/>
          </w:rPr>
          <w:t xml:space="preserve">[58]</w:t>
        </w:r>
      </w:hyperlink>
      <w:r>
        <w:br/>
      </w:r>
      <w:r>
        <w:t xml:space="preserve">At the same time, AQR’s work also illustrates that diversified combinations of robust signals can show long-horizon strength (their composite factor example).</w:t>
      </w:r>
      <w:r>
        <w:t xml:space="preserve"> </w:t>
      </w:r>
      <w:hyperlink r:id="rId79">
        <w:r>
          <w:rPr>
            <w:rStyle w:val="Hyperlink"/>
          </w:rPr>
          <w:t xml:space="preserve">[59]</w:t>
        </w:r>
      </w:hyperlink>
      <w:r>
        <w:br/>
      </w:r>
      <w:r>
        <w:t xml:space="preserve">Applied to your project: Asness would likely hammer you on multiple testing and demand that you justify why a signal should work economically, not just statistically.</w:t>
      </w:r>
    </w:p>
    <w:p>
      <w:pPr>
        <w:pStyle w:val="BodyText"/>
      </w:pPr>
      <w:r>
        <w:t xml:space="preserve">Ed Thorp: Thorp’s story is fundamentally about identifying real edges and exploiting them until they disappear. Malkiel’s review of Thorp’s memoir explicitly states the implicit lesson: arbitrage opportunities tend to disappear as exploited and markets become more efficient; the “$100 bill” doesn’t stay on the ground long.</w:t>
      </w:r>
      <w:r>
        <w:t xml:space="preserve"> </w:t>
      </w:r>
      <w:hyperlink r:id="rId67">
        <w:r>
          <w:rPr>
            <w:rStyle w:val="Hyperlink"/>
          </w:rPr>
          <w:t xml:space="preserve">[43]</w:t>
        </w:r>
      </w:hyperlink>
      <w:r>
        <w:br/>
      </w:r>
      <w:r>
        <w:t xml:space="preserve">AQR’s interview positions Thorp as someone who tests ideas against rationale and real data and discusses the challenge of generating unique alpha (and describes decades of profitability for his hedge fund strategies).</w:t>
      </w:r>
      <w:r>
        <w:t xml:space="preserve"> </w:t>
      </w:r>
      <w:hyperlink r:id="rId82">
        <w:r>
          <w:rPr>
            <w:rStyle w:val="Hyperlink"/>
          </w:rPr>
          <w:t xml:space="preserve">[55]</w:t>
        </w:r>
      </w:hyperlink>
    </w:p>
    <w:p>
      <w:pPr>
        <w:pStyle w:val="BodyText"/>
      </w:pPr>
      <w:r>
        <w:t xml:space="preserve">Andrew Lo: Lo’s AMH is almost a direct theoretical wrapper around alternative data: edges can exist, but they are</w:t>
      </w:r>
      <w:r>
        <w:t xml:space="preserve"> </w:t>
      </w:r>
      <w:r>
        <w:rPr>
          <w:b/>
          <w:bCs/>
        </w:rPr>
        <w:t xml:space="preserve">conditional and temporary</w:t>
      </w:r>
      <w:r>
        <w:t xml:space="preserve">, and the “key to survival is innovation” in a competitive ecology.</w:t>
      </w:r>
      <w:r>
        <w:t xml:space="preserve"> </w:t>
      </w:r>
      <w:hyperlink r:id="rId22">
        <w:r>
          <w:rPr>
            <w:rStyle w:val="Hyperlink"/>
          </w:rPr>
          <w:t xml:space="preserve">[2]</w:t>
        </w:r>
      </w:hyperlink>
      <w:r>
        <w:br/>
      </w:r>
      <w:r>
        <w:t xml:space="preserve">Lo would not dismiss alternative data; he would warn you that it is an arms race and that you must plan for decay.</w:t>
      </w:r>
    </w:p>
    <w:bookmarkEnd w:id="88"/>
    <w:bookmarkStart w:id="90" w:name="Xb76072d25263201d19fc0a2ee298bc9907e3203"/>
    <w:p>
      <w:pPr>
        <w:pStyle w:val="Heading3"/>
      </w:pPr>
      <w:r>
        <w:t xml:space="preserve">What would they say to a retail participant using free public data?</w:t>
      </w:r>
    </w:p>
    <w:p>
      <w:pPr>
        <w:pStyle w:val="FirstParagraph"/>
      </w:pPr>
      <w:r>
        <w:t xml:space="preserve">They would not agree on tone, but they would converge on substance:</w:t>
      </w:r>
    </w:p>
    <w:p>
      <w:pPr>
        <w:pStyle w:val="BodyText"/>
      </w:pPr>
      <w:r>
        <w:t xml:space="preserve">If you are trying to compete at short horizons (minutes/hours) on public news, you are competing with low-latency players who compress reaction windows; retail is structurally disadvantaged.</w:t>
      </w:r>
      <w:r>
        <w:t xml:space="preserve"> </w:t>
      </w:r>
      <w:hyperlink r:id="rId37">
        <w:r>
          <w:rPr>
            <w:rStyle w:val="Hyperlink"/>
          </w:rPr>
          <w:t xml:space="preserve">[60]</w:t>
        </w:r>
      </w:hyperlink>
    </w:p>
    <w:p>
      <w:pPr>
        <w:pStyle w:val="BodyText"/>
      </w:pPr>
      <w:r>
        <w:t xml:space="preserve">If you operate at daily/weekly horizons, your biggest enemy is not speed, it’s</w:t>
      </w:r>
      <w:r>
        <w:t xml:space="preserve"> </w:t>
      </w:r>
      <w:r>
        <w:rPr>
          <w:b/>
          <w:bCs/>
        </w:rPr>
        <w:t xml:space="preserve">false discovery</w:t>
      </w:r>
      <w:r>
        <w:t xml:space="preserve">: with hundreds of signals, you will “find” patterns unless you apply harsh statistical discipline (Reality Check / SPA, multiple testing correction, deflated Sharpe, and strict out-of-sample validation).</w:t>
      </w:r>
      <w:r>
        <w:t xml:space="preserve"> </w:t>
      </w:r>
      <w:hyperlink r:id="rId50">
        <w:r>
          <w:rPr>
            <w:rStyle w:val="Hyperlink"/>
          </w:rPr>
          <w:t xml:space="preserve">[61]</w:t>
        </w:r>
      </w:hyperlink>
    </w:p>
    <w:p>
      <w:pPr>
        <w:pStyle w:val="BodyText"/>
      </w:pPr>
      <w:r>
        <w:t xml:space="preserve">If you insist on single-stock prediction, your biggest enemy is</w:t>
      </w:r>
      <w:r>
        <w:t xml:space="preserve"> </w:t>
      </w:r>
      <w:r>
        <w:rPr>
          <w:b/>
          <w:bCs/>
        </w:rPr>
        <w:t xml:space="preserve">idiosyncratic noise and regime change</w:t>
      </w:r>
      <w:r>
        <w:t xml:space="preserve">; long-horizon predictors often break out-of-sample.</w:t>
      </w:r>
      <w:r>
        <w:t xml:space="preserve"> </w:t>
      </w:r>
      <w:hyperlink r:id="rId62">
        <w:r>
          <w:rPr>
            <w:rStyle w:val="Hyperlink"/>
          </w:rPr>
          <w:t xml:space="preserve">[37]</w:t>
        </w:r>
      </w:hyperlink>
    </w:p>
    <w:p>
      <w:pPr>
        <w:pStyle w:val="BodyText"/>
      </w:pPr>
      <w:r>
        <w:t xml:space="preserve">Warren Buffett’s likely message to a non-professional is already explicit: the “goal of the non-professional should not be to pick winners,” but to own a broad cross-section via a low-cost S&amp;P 500 index fund.</w:t>
      </w:r>
      <w:r>
        <w:t xml:space="preserve"> </w:t>
      </w:r>
      <w:hyperlink r:id="rId89">
        <w:r>
          <w:rPr>
            <w:rStyle w:val="Hyperlink"/>
          </w:rPr>
          <w:t xml:space="preserve">[62]</w:t>
        </w:r>
      </w:hyperlink>
      <w:r>
        <w:br/>
      </w:r>
      <w:r>
        <w:t xml:space="preserve">That doesn’t mean “research is bad,” but it means “expect most attempts to underperform after costs and time.”</w:t>
      </w:r>
    </w:p>
    <w:bookmarkEnd w:id="90"/>
    <w:bookmarkStart w:id="91" w:name="Xbfa06b1e367871364d18039d03786606b7c4c80"/>
    <w:p>
      <w:pPr>
        <w:pStyle w:val="Heading3"/>
      </w:pPr>
      <w:r>
        <w:t xml:space="preserve">Where might alternative data offer more edge than U.S. large-cap equities?</w:t>
      </w:r>
    </w:p>
    <w:p>
      <w:pPr>
        <w:pStyle w:val="FirstParagraph"/>
      </w:pPr>
      <w:r>
        <w:t xml:space="preserve">Lo’s AMH implies the most efficient markets are those with the most intense competition; a crowded market like U.S. large caps will be harder to exploit.</w:t>
      </w:r>
      <w:r>
        <w:t xml:space="preserve"> </w:t>
      </w:r>
      <w:hyperlink r:id="rId22">
        <w:r>
          <w:rPr>
            <w:rStyle w:val="Hyperlink"/>
          </w:rPr>
          <w:t xml:space="preserve">[3]</w:t>
        </w:r>
      </w:hyperlink>
      <w:r>
        <w:br/>
      </w:r>
      <w:r>
        <w:t xml:space="preserve">McLean–Pontiff and global anomaly evidence suggest the U.S. is particularly efficient at arbitraging away published anomalies.</w:t>
      </w:r>
      <w:r>
        <w:t xml:space="preserve"> </w:t>
      </w:r>
      <w:hyperlink r:id="rId39">
        <w:r>
          <w:rPr>
            <w:rStyle w:val="Hyperlink"/>
          </w:rPr>
          <w:t xml:space="preserve">[34]</w:t>
        </w:r>
      </w:hyperlink>
    </w:p>
    <w:p>
      <w:pPr>
        <w:pStyle w:val="BodyText"/>
      </w:pPr>
      <w:r>
        <w:t xml:space="preserve">So “best investors” often look for less crowded arenas or arenas with frictions:</w:t>
      </w:r>
    </w:p>
    <w:p>
      <w:pPr>
        <w:pStyle w:val="BodyText"/>
      </w:pPr>
      <w:r>
        <w:t xml:space="preserve">Smaller-cap or less-covered equities (capacity constraints may preserve edges; but costs and liquidity risks rise). Conceptually consistent with limits-to-arbitrage arguments.</w:t>
      </w:r>
      <w:r>
        <w:t xml:space="preserve"> </w:t>
      </w:r>
      <w:hyperlink r:id="rId41">
        <w:r>
          <w:rPr>
            <w:rStyle w:val="Hyperlink"/>
          </w:rPr>
          <w:t xml:space="preserve">[21]</w:t>
        </w:r>
      </w:hyperlink>
      <w:r>
        <w:br/>
      </w:r>
      <w:r>
        <w:t xml:space="preserve">Markets where information is harder to process (complex credit, certain global markets), though your “free public data” constraint may limit access.</w:t>
      </w:r>
    </w:p>
    <w:bookmarkEnd w:id="91"/>
    <w:bookmarkEnd w:id="92"/>
    <w:bookmarkStart w:id="97" w:name="the-existential-question"/>
    <w:p>
      <w:pPr>
        <w:pStyle w:val="Heading2"/>
      </w:pPr>
      <w:r>
        <w:t xml:space="preserve">The existential question</w:t>
      </w:r>
    </w:p>
    <w:bookmarkStart w:id="93" w:name="X59de3f635735f1fad3e300634d06e34428ce24e"/>
    <w:p>
      <w:pPr>
        <w:pStyle w:val="Heading3"/>
      </w:pPr>
      <w:r>
        <w:t xml:space="preserve">Honest assessment: should a solo developer with free public data pursue signal-based equity prediction?</w:t>
      </w:r>
    </w:p>
    <w:p>
      <w:pPr>
        <w:pStyle w:val="FirstParagraph"/>
      </w:pPr>
      <w:r>
        <w:t xml:space="preserve">If the goal is</w:t>
      </w:r>
      <w:r>
        <w:t xml:space="preserve"> </w:t>
      </w:r>
      <w:r>
        <w:rPr>
          <w:b/>
          <w:bCs/>
        </w:rPr>
        <w:t xml:space="preserve">to trade Uber using a model discovered from 332 public signals on ~6.7 years of daily data</w:t>
      </w:r>
      <w:r>
        <w:t xml:space="preserve">, the evidence says: the probability of finding a</w:t>
      </w:r>
      <w:r>
        <w:t xml:space="preserve"> </w:t>
      </w:r>
      <w:r>
        <w:rPr>
          <w:b/>
          <w:bCs/>
        </w:rPr>
        <w:t xml:space="preserve">durable</w:t>
      </w:r>
      <w:r>
        <w:t xml:space="preserve"> </w:t>
      </w:r>
      <w:r>
        <w:t xml:space="preserve">edge that survives costs and remains stable is</w:t>
      </w:r>
      <w:r>
        <w:t xml:space="preserve"> </w:t>
      </w:r>
      <w:r>
        <w:rPr>
          <w:b/>
          <w:bCs/>
        </w:rPr>
        <w:t xml:space="preserve">low</w:t>
      </w:r>
      <w:r>
        <w:t xml:space="preserve">.</w:t>
      </w:r>
    </w:p>
    <w:p>
      <w:pPr>
        <w:pStyle w:val="BodyText"/>
      </w:pPr>
      <w:r>
        <w:t xml:space="preserve">This is not because “all markets are perfectly efficient.” It’s because:</w:t>
      </w:r>
    </w:p>
    <w:p>
      <w:pPr>
        <w:pStyle w:val="BodyText"/>
      </w:pPr>
      <w:r>
        <w:t xml:space="preserve">In highly competitive markets, return predictability is often fragile and decays as people learn (AMH).</w:t>
      </w:r>
      <w:r>
        <w:t xml:space="preserve"> </w:t>
      </w:r>
      <w:hyperlink r:id="rId22">
        <w:r>
          <w:rPr>
            <w:rStyle w:val="Hyperlink"/>
          </w:rPr>
          <w:t xml:space="preserve">[63]</w:t>
        </w:r>
      </w:hyperlink>
      <w:r>
        <w:br/>
      </w:r>
      <w:r>
        <w:t xml:space="preserve">Published predictors show large post-discovery declines; the U.S. is especially prone to this.</w:t>
      </w:r>
      <w:r>
        <w:t xml:space="preserve"> </w:t>
      </w:r>
      <w:hyperlink r:id="rId39">
        <w:r>
          <w:rPr>
            <w:rStyle w:val="Hyperlink"/>
          </w:rPr>
          <w:t xml:space="preserve">[34]</w:t>
        </w:r>
      </w:hyperlink>
      <w:r>
        <w:br/>
      </w:r>
      <w:r>
        <w:t xml:space="preserve">Large-scale testing produces false positives unless corrected; this is a core lesson across both academic and practitioner work (Reality Check/SPA, multiple testing, deflated Sharpe, factor-zoo critiques).</w:t>
      </w:r>
      <w:r>
        <w:t xml:space="preserve"> </w:t>
      </w:r>
      <w:hyperlink r:id="rId50">
        <w:r>
          <w:rPr>
            <w:rStyle w:val="Hyperlink"/>
          </w:rPr>
          <w:t xml:space="preserve">[64]</w:t>
        </w:r>
      </w:hyperlink>
      <w:r>
        <w:br/>
      </w:r>
      <w:r>
        <w:t xml:space="preserve">Return prediction (especially time-series market timing) is notoriously unstable out-of-sample.</w:t>
      </w:r>
      <w:r>
        <w:t xml:space="preserve"> </w:t>
      </w:r>
      <w:hyperlink r:id="rId62">
        <w:r>
          <w:rPr>
            <w:rStyle w:val="Hyperlink"/>
          </w:rPr>
          <w:t xml:space="preserve">[51]</w:t>
        </w:r>
      </w:hyperlink>
    </w:p>
    <w:p>
      <w:pPr>
        <w:pStyle w:val="BodyText"/>
      </w:pPr>
      <w:r>
        <w:t xml:space="preserve">If, instead, the goal is</w:t>
      </w:r>
      <w:r>
        <w:t xml:space="preserve"> </w:t>
      </w:r>
      <w:r>
        <w:rPr>
          <w:b/>
          <w:bCs/>
        </w:rPr>
        <w:t xml:space="preserve">to build a durable research platform</w:t>
      </w:r>
      <w:r>
        <w:t xml:space="preserve"> </w:t>
      </w:r>
      <w:r>
        <w:t xml:space="preserve">(data ingestion, timestamp alignment, leakage-safe validation, monitoring for regime change) that can later be applied to</w:t>
      </w:r>
      <w:r>
        <w:t xml:space="preserve"> </w:t>
      </w:r>
      <w:r>
        <w:rPr>
          <w:b/>
          <w:bCs/>
        </w:rPr>
        <w:t xml:space="preserve">many securities</w:t>
      </w:r>
      <w:r>
        <w:t xml:space="preserve"> </w:t>
      </w:r>
      <w:r>
        <w:t xml:space="preserve">or to</w:t>
      </w:r>
      <w:r>
        <w:t xml:space="preserve"> </w:t>
      </w:r>
      <w:r>
        <w:rPr>
          <w:b/>
          <w:bCs/>
        </w:rPr>
        <w:t xml:space="preserve">fundamental nowcasting</w:t>
      </w:r>
      <w:r>
        <w:t xml:space="preserve">, then the effort can be rational—even if Uber itself is not a profitable endpoint. Elite quants build platforms first; alpha comes later.</w:t>
      </w:r>
    </w:p>
    <w:bookmarkEnd w:id="93"/>
    <w:bookmarkStart w:id="94" w:name="X9049603a8459ee73fd88eba43348a4ccb336232"/>
    <w:p>
      <w:pPr>
        <w:pStyle w:val="Heading3"/>
      </w:pPr>
      <w:r>
        <w:t xml:space="preserve">Strongest argument for the approach working</w:t>
      </w:r>
    </w:p>
    <w:p>
      <w:pPr>
        <w:pStyle w:val="FirstParagraph"/>
      </w:pPr>
      <w:r>
        <w:t xml:space="preserve">Public alternative data can contain predictive content due to limited attention, processing costs, and slow diffusion—and there is real academic evidence in several of your targeted categories:</w:t>
      </w:r>
    </w:p>
    <w:p>
      <w:pPr>
        <w:pStyle w:val="BodyText"/>
      </w:pPr>
      <w:r>
        <w:t xml:space="preserve">Insider purchases show abnormal returns that accrue over days to weeks after transactions, consistent with exploitable drift.</w:t>
      </w:r>
      <w:r>
        <w:t xml:space="preserve"> </w:t>
      </w:r>
      <w:hyperlink r:id="rId27">
        <w:r>
          <w:rPr>
            <w:rStyle w:val="Hyperlink"/>
          </w:rPr>
          <w:t xml:space="preserve">[65]</w:t>
        </w:r>
      </w:hyperlink>
      <w:r>
        <w:br/>
      </w:r>
      <w:r>
        <w:t xml:space="preserve">Google search attention predicts short-horizon price movements in broad samples.</w:t>
      </w:r>
      <w:r>
        <w:t xml:space="preserve"> </w:t>
      </w:r>
      <w:hyperlink r:id="rId29">
        <w:r>
          <w:rPr>
            <w:rStyle w:val="Hyperlink"/>
          </w:rPr>
          <w:t xml:space="preserve">[9]</w:t>
        </w:r>
      </w:hyperlink>
      <w:r>
        <w:br/>
      </w:r>
      <w:r>
        <w:t xml:space="preserve">Job-posting-based labor networks show predictable returns attributed to delayed incorporation.</w:t>
      </w:r>
      <w:r>
        <w:t xml:space="preserve"> </w:t>
      </w:r>
      <w:hyperlink r:id="rId32">
        <w:r>
          <w:rPr>
            <w:rStyle w:val="Hyperlink"/>
          </w:rPr>
          <w:t xml:space="preserve">[12]</w:t>
        </w:r>
      </w:hyperlink>
      <w:r>
        <w:br/>
      </w:r>
      <w:r>
        <w:t xml:space="preserve">App usage metrics show next-month return predictability in research samples.</w:t>
      </w:r>
      <w:r>
        <w:t xml:space="preserve"> </w:t>
      </w:r>
      <w:hyperlink r:id="rId33">
        <w:r>
          <w:rPr>
            <w:rStyle w:val="Hyperlink"/>
          </w:rPr>
          <w:t xml:space="preserve">[13]</w:t>
        </w:r>
      </w:hyperlink>
    </w:p>
    <w:p>
      <w:pPr>
        <w:pStyle w:val="BodyText"/>
      </w:pPr>
      <w:r>
        <w:t xml:space="preserve">If you can engineer “retail-accessible approximations” of these signals (correct timestamps, robust normalization, minimal tuning) and target horizons where speed disadvantages are irrelevant (daily/weekly), you might extract incremental predictive power—especially if the model eventually generalizes beyond one stock.</w:t>
      </w:r>
    </w:p>
    <w:bookmarkEnd w:id="94"/>
    <w:bookmarkStart w:id="95" w:name="X6ebb4bffb08ef9a93e10ab5193b1bc09c9439db"/>
    <w:p>
      <w:pPr>
        <w:pStyle w:val="Heading3"/>
      </w:pPr>
      <w:r>
        <w:t xml:space="preserve">Strongest argument against the approach working</w:t>
      </w:r>
    </w:p>
    <w:p>
      <w:pPr>
        <w:pStyle w:val="FirstParagraph"/>
      </w:pPr>
      <w:r>
        <w:t xml:space="preserve">For your exact framing (single stock, many signals, free data), the strongest argument against is that you are setting up the classic failure mode:</w:t>
      </w:r>
    </w:p>
    <w:p>
      <w:pPr>
        <w:pStyle w:val="BodyText"/>
      </w:pPr>
      <w:r>
        <w:t xml:space="preserve">You will almost certainly find statistically significant relationships by chance (expect ~16–17 at p&lt;0.05 even under pure noise), and with flexible feature engineering the effective number of trials is much larger.</w:t>
      </w:r>
      <w:r>
        <w:t xml:space="preserve"> </w:t>
      </w:r>
      <w:hyperlink r:id="rId50">
        <w:r>
          <w:rPr>
            <w:rStyle w:val="Hyperlink"/>
          </w:rPr>
          <w:t xml:space="preserve">[66]</w:t>
        </w:r>
      </w:hyperlink>
      <w:r>
        <w:br/>
      </w:r>
      <w:r>
        <w:t xml:space="preserve">Even “real” predictors decay after discovery/crowding, especially in U.S. equities and especially in widely followed stocks.</w:t>
      </w:r>
      <w:r>
        <w:t xml:space="preserve"> </w:t>
      </w:r>
      <w:hyperlink r:id="rId39">
        <w:r>
          <w:rPr>
            <w:rStyle w:val="Hyperlink"/>
          </w:rPr>
          <w:t xml:space="preserve">[67]</w:t>
        </w:r>
      </w:hyperlink>
      <w:r>
        <w:br/>
      </w:r>
      <w:r>
        <w:t xml:space="preserve">The strongest versions of some alternative-data edges are not truly “free public” once you consider what research datasets actually used (e.g., option-flow classification not publicly observable in the strongest form; job posting universes are typically commercial).</w:t>
      </w:r>
      <w:r>
        <w:t xml:space="preserve"> </w:t>
      </w:r>
      <w:hyperlink r:id="rId28">
        <w:r>
          <w:rPr>
            <w:rStyle w:val="Hyperlink"/>
          </w:rPr>
          <w:t xml:space="preserve">[68]</w:t>
        </w:r>
      </w:hyperlink>
      <w:r>
        <w:br/>
      </w:r>
      <w:r>
        <w:t xml:space="preserve">Return prediction is unstable out-of-sample; finance has a long history of in-sample success that fails when deployed.</w:t>
      </w:r>
      <w:r>
        <w:t xml:space="preserve"> </w:t>
      </w:r>
      <w:hyperlink r:id="rId62">
        <w:r>
          <w:rPr>
            <w:rStyle w:val="Hyperlink"/>
          </w:rPr>
          <w:t xml:space="preserve">[40]</w:t>
        </w:r>
      </w:hyperlink>
    </w:p>
    <w:bookmarkEnd w:id="95"/>
    <w:bookmarkStart w:id="96" w:name="X6cf84118844390c8b6f57e86039b6fcced0ed46"/>
    <w:p>
      <w:pPr>
        <w:pStyle w:val="Heading3"/>
      </w:pPr>
      <w:r>
        <w:t xml:space="preserve">If the edge lies elsewhere, where specifically?</w:t>
      </w:r>
    </w:p>
    <w:p>
      <w:pPr>
        <w:pStyle w:val="FirstParagraph"/>
      </w:pPr>
      <w:r>
        <w:t xml:space="preserve">The evidence suggests your highest-probability “edge relocation” options are:</w:t>
      </w:r>
    </w:p>
    <w:p>
      <w:pPr>
        <w:pStyle w:val="BodyText"/>
      </w:pPr>
      <w:r>
        <w:t xml:space="preserve">Shift from single-name prediction to</w:t>
      </w:r>
      <w:r>
        <w:t xml:space="preserve"> </w:t>
      </w:r>
      <w:r>
        <w:rPr>
          <w:b/>
          <w:bCs/>
        </w:rPr>
        <w:t xml:space="preserve">cross-sectional ranking across many stocks</w:t>
      </w:r>
      <w:r>
        <w:t xml:space="preserve">, because most documented anomalies and alternative-data return predictors are expressed as long–short spreads across universes, not one ticker.</w:t>
      </w:r>
      <w:r>
        <w:t xml:space="preserve"> </w:t>
      </w:r>
      <w:hyperlink r:id="rId28">
        <w:r>
          <w:rPr>
            <w:rStyle w:val="Hyperlink"/>
          </w:rPr>
          <w:t xml:space="preserve">[69]</w:t>
        </w:r>
      </w:hyperlink>
      <w:r>
        <w:br/>
      </w:r>
      <w:r>
        <w:t xml:space="preserve">Shift from predicting returns directly to</w:t>
      </w:r>
      <w:r>
        <w:t xml:space="preserve"> </w:t>
      </w:r>
      <w:r>
        <w:rPr>
          <w:b/>
          <w:bCs/>
        </w:rPr>
        <w:t xml:space="preserve">nowcasting fundamentals / attention / risk</w:t>
      </w:r>
      <w:r>
        <w:t xml:space="preserve"> </w:t>
      </w:r>
      <w:r>
        <w:t xml:space="preserve">and using that to improve longer-horizon decisions; the textual-analysis literature and app/job-postings work aligns more naturally with “information about future performance” than with “tomorrow’s return.”</w:t>
      </w:r>
      <w:r>
        <w:t xml:space="preserve"> </w:t>
      </w:r>
      <w:hyperlink r:id="rId30">
        <w:r>
          <w:rPr>
            <w:rStyle w:val="Hyperlink"/>
          </w:rPr>
          <w:t xml:space="preserve">[70]</w:t>
        </w:r>
      </w:hyperlink>
      <w:r>
        <w:br/>
      </w:r>
      <w:r>
        <w:t xml:space="preserve">Focus on domains where crowding is lower (AMH): smaller, less-followed markets and situations where information processing is complex.</w:t>
      </w:r>
      <w:r>
        <w:t xml:space="preserve"> </w:t>
      </w:r>
      <w:hyperlink r:id="rId22">
        <w:r>
          <w:rPr>
            <w:rStyle w:val="Hyperlink"/>
          </w:rPr>
          <w:t xml:space="preserve">[71]</w:t>
        </w:r>
      </w:hyperlink>
    </w:p>
    <w:p>
      <w:pPr>
        <w:pStyle w:val="BodyText"/>
      </w:pPr>
      <w:r>
        <w:t xml:space="preserve">The ground-truth conclusion:</w:t>
      </w:r>
      <w:r>
        <w:t xml:space="preserve"> </w:t>
      </w:r>
      <w:r>
        <w:rPr>
          <w:b/>
          <w:bCs/>
        </w:rPr>
        <w:t xml:space="preserve">building the system is intellectually legitimate</w:t>
      </w:r>
      <w:r>
        <w:t xml:space="preserve">, and there is real evidence that several of your signal categories can predict returns in broad samples—but</w:t>
      </w:r>
      <w:r>
        <w:t xml:space="preserve"> </w:t>
      </w:r>
      <w:r>
        <w:rPr>
          <w:b/>
          <w:bCs/>
        </w:rPr>
        <w:t xml:space="preserve">trying to extract durable alpha for Uber alone from free public data is likely not the highest-odds path</w:t>
      </w:r>
      <w:r>
        <w:t xml:space="preserve"> </w:t>
      </w:r>
      <w:r>
        <w:t xml:space="preserve">unless you narrow to a small number of economically grounded, correctly timestamped, minimally tuned signals and validate them under extremely harsh out-of-sample discipline.</w:t>
      </w:r>
    </w:p>
    <w:bookmarkEnd w:id="96"/>
    <w:bookmarkEnd w:id="97"/>
    <w:bookmarkEnd w:id="98"/>
    <w:bookmarkEnd w:id="99"/>
    <w:p>
      <w:r>
        <w:pict>
          <v:rect style="width:0;height:1.5pt" o:hralign="center" o:hrstd="t" o:hr="t"/>
        </w:pict>
      </w:r>
    </w:p>
    <w:bookmarkStart w:id="100" w:name="citations"/>
    <w:p>
      <w:pPr>
        <w:pStyle w:val="FirstParagraph"/>
      </w:pPr>
      <w:hyperlink r:id="rId21">
        <w:r>
          <w:rPr>
            <w:rStyle w:val="Hyperlink"/>
          </w:rPr>
          <w:t xml:space="preserve">[1]</w:t>
        </w:r>
      </w:hyperlink>
      <w:r>
        <w:t xml:space="preserve"> </w:t>
      </w:r>
      <w:r>
        <w:t xml:space="preserve">https://www.jstor.org/stable/2325486</w:t>
      </w:r>
    </w:p>
    <w:p>
      <w:pPr>
        <w:pStyle w:val="BodyText"/>
      </w:pPr>
      <w:hyperlink r:id="rId21">
        <w:r>
          <w:rPr>
            <w:rStyle w:val="Hyperlink"/>
          </w:rPr>
          <w:t xml:space="preserve">https://www.jstor.org/stable/2325486</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[63]</w:t>
        </w:r>
      </w:hyperlink>
      <w:r>
        <w:t xml:space="preserve"> </w:t>
      </w:r>
      <w:hyperlink r:id="rId22">
        <w:r>
          <w:rPr>
            <w:rStyle w:val="Hyperlink"/>
          </w:rPr>
          <w:t xml:space="preserve">[71]</w:t>
        </w:r>
      </w:hyperlink>
      <w:r>
        <w:t xml:space="preserve"> </w:t>
      </w:r>
      <w:r>
        <w:t xml:space="preserve">https://web.mit.edu/Alo/www/Papers/JPM2004_Pub.pdf</w:t>
      </w:r>
    </w:p>
    <w:p>
      <w:pPr>
        <w:pStyle w:val="BodyText"/>
      </w:pPr>
      <w:hyperlink r:id="rId22">
        <w:r>
          <w:rPr>
            <w:rStyle w:val="Hyperlink"/>
          </w:rPr>
          <w:t xml:space="preserve">https://web.mit.edu/Alo/www/Papers/JPM2004_Pub.pdf</w:t>
        </w:r>
      </w:hyperlink>
    </w:p>
    <w:p>
      <w:pPr>
        <w:pStyle w:val="BodyText"/>
      </w:pPr>
      <w:hyperlink r:id="rId23">
        <w:r>
          <w:rPr>
            <w:rStyle w:val="Hyperlink"/>
          </w:rPr>
          <w:t xml:space="preserve">[4]</w:t>
        </w:r>
      </w:hyperlink>
      <w:r>
        <w:t xml:space="preserve"> </w:t>
      </w:r>
      <w:r>
        <w:t xml:space="preserve">https://www.ft.com/content/ec06fe06-6150-4f39-8175-37b9b61a5520</w:t>
      </w:r>
    </w:p>
    <w:p>
      <w:pPr>
        <w:pStyle w:val="BodyText"/>
      </w:pPr>
      <w:hyperlink r:id="rId23">
        <w:r>
          <w:rPr>
            <w:rStyle w:val="Hyperlink"/>
          </w:rPr>
          <w:t xml:space="preserve">https://www.ft.com/content/ec06fe06-6150-4f39-8175-37b9b61a5520</w:t>
        </w:r>
      </w:hyperlink>
    </w:p>
    <w:p>
      <w:pPr>
        <w:pStyle w:val="BodyText"/>
      </w:pPr>
      <w:hyperlink r:id="rId25">
        <w:r>
          <w:rPr>
            <w:rStyle w:val="Hyperlink"/>
          </w:rPr>
          <w:t xml:space="preserve">[5]</w:t>
        </w:r>
      </w:hyperlink>
      <w:r>
        <w:t xml:space="preserve"> </w:t>
      </w:r>
      <w:hyperlink r:id="rId25">
        <w:r>
          <w:rPr>
            <w:rStyle w:val="Hyperlink"/>
          </w:rPr>
          <w:t xml:space="preserve">[35]</w:t>
        </w:r>
      </w:hyperlink>
      <w:r>
        <w:t xml:space="preserve"> </w:t>
      </w:r>
      <w:hyperlink r:id="rId25">
        <w:r>
          <w:rPr>
            <w:rStyle w:val="Hyperlink"/>
          </w:rPr>
          <w:t xml:space="preserve">[50]</w:t>
        </w:r>
      </w:hyperlink>
      <w:r>
        <w:t xml:space="preserve"> </w:t>
      </w:r>
      <w:r>
        <w:t xml:space="preserve">https://academic.oup.com/rfs/article-abstract/29/1/5/1843824</w:t>
      </w:r>
    </w:p>
    <w:p>
      <w:pPr>
        <w:pStyle w:val="BodyText"/>
      </w:pPr>
      <w:hyperlink r:id="rId25">
        <w:r>
          <w:rPr>
            <w:rStyle w:val="Hyperlink"/>
          </w:rPr>
          <w:t xml:space="preserve">https://academic.oup.com/rfs/article-abstract/29/1/5/1843824</w:t>
        </w:r>
      </w:hyperlink>
    </w:p>
    <w:p>
      <w:pPr>
        <w:pStyle w:val="BodyText"/>
      </w:pPr>
      <w:hyperlink r:id="rId26">
        <w:r>
          <w:rPr>
            <w:rStyle w:val="Hyperlink"/>
          </w:rPr>
          <w:t xml:space="preserve">[6]</w:t>
        </w:r>
      </w:hyperlink>
      <w:r>
        <w:t xml:space="preserve"> </w:t>
      </w:r>
      <w:hyperlink r:id="rId26">
        <w:r>
          <w:rPr>
            <w:rStyle w:val="Hyperlink"/>
          </w:rPr>
          <w:t xml:space="preserve">[41]</w:t>
        </w:r>
      </w:hyperlink>
      <w:r>
        <w:t xml:space="preserve"> </w:t>
      </w:r>
      <w:hyperlink r:id="rId26">
        <w:r>
          <w:rPr>
            <w:rStyle w:val="Hyperlink"/>
          </w:rPr>
          <w:t xml:space="preserve">[49]</w:t>
        </w:r>
      </w:hyperlink>
      <w:r>
        <w:t xml:space="preserve"> </w:t>
      </w:r>
      <w:r>
        <w:t xml:space="preserve">https://www.investor.gov/introduction-investing/general-resources/news-alerts/alerts-bulletins/investor-bulletins-69</w:t>
      </w:r>
    </w:p>
    <w:p>
      <w:pPr>
        <w:pStyle w:val="BodyText"/>
      </w:pPr>
      <w:hyperlink r:id="rId26">
        <w:r>
          <w:rPr>
            <w:rStyle w:val="Hyperlink"/>
          </w:rPr>
          <w:t xml:space="preserve">https://www.investor.gov/introduction-investing/general-resources/news-alerts/alerts-bulletins/investor-bulletins-69</w:t>
        </w:r>
      </w:hyperlink>
    </w:p>
    <w:p>
      <w:pPr>
        <w:pStyle w:val="BodyText"/>
      </w:pPr>
      <w:hyperlink r:id="rId27">
        <w:r>
          <w:rPr>
            <w:rStyle w:val="Hyperlink"/>
          </w:rPr>
          <w:t xml:space="preserve">[7]</w:t>
        </w:r>
      </w:hyperlink>
      <w:r>
        <w:t xml:space="preserve"> </w:t>
      </w:r>
      <w:hyperlink r:id="rId27">
        <w:r>
          <w:rPr>
            <w:rStyle w:val="Hyperlink"/>
          </w:rPr>
          <w:t xml:space="preserve">[65]</w:t>
        </w:r>
      </w:hyperlink>
      <w:r>
        <w:t xml:space="preserve"> </w:t>
      </w:r>
      <w:r>
        <w:t xml:space="preserve">https://www.nber.org/papers/w6913</w:t>
      </w:r>
    </w:p>
    <w:p>
      <w:pPr>
        <w:pStyle w:val="BodyText"/>
      </w:pPr>
      <w:hyperlink r:id="rId27">
        <w:r>
          <w:rPr>
            <w:rStyle w:val="Hyperlink"/>
          </w:rPr>
          <w:t xml:space="preserve">https://www.nber.org/papers/w6913</w:t>
        </w:r>
      </w:hyperlink>
    </w:p>
    <w:p>
      <w:pPr>
        <w:pStyle w:val="BodyText"/>
      </w:pPr>
      <w:hyperlink r:id="rId28">
        <w:r>
          <w:rPr>
            <w:rStyle w:val="Hyperlink"/>
          </w:rPr>
          <w:t xml:space="preserve">[8]</w:t>
        </w:r>
      </w:hyperlink>
      <w:r>
        <w:t xml:space="preserve"> </w:t>
      </w:r>
      <w:hyperlink r:id="rId28">
        <w:r>
          <w:rPr>
            <w:rStyle w:val="Hyperlink"/>
          </w:rPr>
          <w:t xml:space="preserve">[54]</w:t>
        </w:r>
      </w:hyperlink>
      <w:r>
        <w:t xml:space="preserve"> </w:t>
      </w:r>
      <w:hyperlink r:id="rId28">
        <w:r>
          <w:rPr>
            <w:rStyle w:val="Hyperlink"/>
          </w:rPr>
          <w:t xml:space="preserve">[68]</w:t>
        </w:r>
      </w:hyperlink>
      <w:r>
        <w:t xml:space="preserve"> </w:t>
      </w:r>
      <w:hyperlink r:id="rId28">
        <w:r>
          <w:rPr>
            <w:rStyle w:val="Hyperlink"/>
          </w:rPr>
          <w:t xml:space="preserve">[69]</w:t>
        </w:r>
      </w:hyperlink>
      <w:r>
        <w:t xml:space="preserve"> </w:t>
      </w:r>
      <w:r>
        <w:t xml:space="preserve">https://www.mit.edu/~junpan/volume.pdf</w:t>
      </w:r>
    </w:p>
    <w:p>
      <w:pPr>
        <w:pStyle w:val="BodyText"/>
      </w:pPr>
      <w:hyperlink r:id="rId28">
        <w:r>
          <w:rPr>
            <w:rStyle w:val="Hyperlink"/>
          </w:rPr>
          <w:t xml:space="preserve">https://www.mit.edu/~junpan/volume.pdf</w:t>
        </w:r>
      </w:hyperlink>
    </w:p>
    <w:p>
      <w:pPr>
        <w:pStyle w:val="BodyText"/>
      </w:pPr>
      <w:hyperlink r:id="rId29">
        <w:r>
          <w:rPr>
            <w:rStyle w:val="Hyperlink"/>
          </w:rPr>
          <w:t xml:space="preserve">[9]</w:t>
        </w:r>
      </w:hyperlink>
      <w:r>
        <w:t xml:space="preserve"> </w:t>
      </w:r>
      <w:hyperlink r:id="rId29">
        <w:r>
          <w:rPr>
            <w:rStyle w:val="Hyperlink"/>
          </w:rPr>
          <w:t xml:space="preserve">[20]</w:t>
        </w:r>
      </w:hyperlink>
      <w:r>
        <w:t xml:space="preserve"> </w:t>
      </w:r>
      <w:r>
        <w:t xml:space="preserve">https://www.jstor.org/stable/41305167</w:t>
      </w:r>
    </w:p>
    <w:p>
      <w:pPr>
        <w:pStyle w:val="BodyText"/>
      </w:pPr>
      <w:hyperlink r:id="rId29">
        <w:r>
          <w:rPr>
            <w:rStyle w:val="Hyperlink"/>
          </w:rPr>
          <w:t xml:space="preserve">https://www.jstor.org/stable/41305167</w:t>
        </w:r>
      </w:hyperlink>
    </w:p>
    <w:p>
      <w:pPr>
        <w:pStyle w:val="BodyText"/>
      </w:pPr>
      <w:hyperlink r:id="rId30">
        <w:r>
          <w:rPr>
            <w:rStyle w:val="Hyperlink"/>
          </w:rPr>
          <w:t xml:space="preserve">[10]</w:t>
        </w:r>
      </w:hyperlink>
      <w:r>
        <w:t xml:space="preserve"> </w:t>
      </w:r>
      <w:hyperlink r:id="rId30">
        <w:r>
          <w:rPr>
            <w:rStyle w:val="Hyperlink"/>
          </w:rPr>
          <w:t xml:space="preserve">[42]</w:t>
        </w:r>
      </w:hyperlink>
      <w:r>
        <w:t xml:space="preserve"> </w:t>
      </w:r>
      <w:hyperlink r:id="rId30">
        <w:r>
          <w:rPr>
            <w:rStyle w:val="Hyperlink"/>
          </w:rPr>
          <w:t xml:space="preserve">[70]</w:t>
        </w:r>
      </w:hyperlink>
      <w:r>
        <w:t xml:space="preserve"> </w:t>
      </w:r>
      <w:r>
        <w:t xml:space="preserve">https://www.jstor.org/stable/29789771</w:t>
      </w:r>
    </w:p>
    <w:p>
      <w:pPr>
        <w:pStyle w:val="BodyText"/>
      </w:pPr>
      <w:hyperlink r:id="rId30">
        <w:r>
          <w:rPr>
            <w:rStyle w:val="Hyperlink"/>
          </w:rPr>
          <w:t xml:space="preserve">https://www.jstor.org/stable/29789771</w:t>
        </w:r>
      </w:hyperlink>
    </w:p>
    <w:p>
      <w:pPr>
        <w:pStyle w:val="BodyText"/>
      </w:pPr>
      <w:hyperlink r:id="rId31">
        <w:r>
          <w:rPr>
            <w:rStyle w:val="Hyperlink"/>
          </w:rPr>
          <w:t xml:space="preserve">[11]</w:t>
        </w:r>
      </w:hyperlink>
      <w:r>
        <w:t xml:space="preserve"> </w:t>
      </w:r>
      <w:r>
        <w:t xml:space="preserve">https://www.jstor.org/stable/pdfplus/4622297.pdf</w:t>
      </w:r>
    </w:p>
    <w:p>
      <w:pPr>
        <w:pStyle w:val="BodyText"/>
      </w:pPr>
      <w:hyperlink r:id="rId31">
        <w:r>
          <w:rPr>
            <w:rStyle w:val="Hyperlink"/>
          </w:rPr>
          <w:t xml:space="preserve">https://www.jstor.org/stable/pdfplus/4622297.pdf</w:t>
        </w:r>
      </w:hyperlink>
    </w:p>
    <w:p>
      <w:pPr>
        <w:pStyle w:val="BodyText"/>
      </w:pPr>
      <w:hyperlink r:id="rId32">
        <w:r>
          <w:rPr>
            <w:rStyle w:val="Hyperlink"/>
          </w:rPr>
          <w:t xml:space="preserve">[12]</w:t>
        </w:r>
      </w:hyperlink>
      <w:r>
        <w:t xml:space="preserve"> </w:t>
      </w:r>
      <w:r>
        <w:t xml:space="preserve">https://www.cambridge.org/core/services/aop-cambridge-core/content/view/437C230243B5CCD0174A333D4806F018/S0022109025101610a.pdf/labor_links_comovement_and_predictable_returns.pdf</w:t>
      </w:r>
    </w:p>
    <w:p>
      <w:pPr>
        <w:pStyle w:val="BodyText"/>
      </w:pPr>
      <w:hyperlink r:id="rId32">
        <w:r>
          <w:rPr>
            <w:rStyle w:val="Hyperlink"/>
          </w:rPr>
          <w:t xml:space="preserve">https://www.cambridge.org/core/services/aop-cambridge-core/content/view/437C230243B5CCD0174A333D4806F018/S0022109025101610a.pdf/labor_links_comovement_and_predictable_returns.pdf</w:t>
        </w:r>
      </w:hyperlink>
    </w:p>
    <w:p>
      <w:pPr>
        <w:pStyle w:val="BodyText"/>
      </w:pPr>
      <w:hyperlink r:id="rId33">
        <w:r>
          <w:rPr>
            <w:rStyle w:val="Hyperlink"/>
          </w:rPr>
          <w:t xml:space="preserve">[13]</w:t>
        </w:r>
      </w:hyperlink>
      <w:r>
        <w:t xml:space="preserve"> </w:t>
      </w:r>
      <w:r>
        <w:t xml:space="preserve">https://hub.hku.hk/bitstream/10722/275443/1/Content.pdf</w:t>
      </w:r>
    </w:p>
    <w:p>
      <w:pPr>
        <w:pStyle w:val="BodyText"/>
      </w:pPr>
      <w:hyperlink r:id="rId33">
        <w:r>
          <w:rPr>
            <w:rStyle w:val="Hyperlink"/>
          </w:rPr>
          <w:t xml:space="preserve">https://hub.hku.hk/bitstream/10722/275443/1/Content.pdf</w:t>
        </w:r>
      </w:hyperlink>
    </w:p>
    <w:p>
      <w:pPr>
        <w:pStyle w:val="BodyText"/>
      </w:pPr>
      <w:hyperlink r:id="rId35">
        <w:r>
          <w:rPr>
            <w:rStyle w:val="Hyperlink"/>
          </w:rPr>
          <w:t xml:space="preserve">[14]</w:t>
        </w:r>
      </w:hyperlink>
      <w:r>
        <w:t xml:space="preserve"> </w:t>
      </w:r>
      <w:r>
        <w:t xml:space="preserve">https://www.deloitte.com/us/en/insights/industry/financial-services/alternative-data-for-investors-from-discovery-to-institutionalization.html</w:t>
      </w:r>
    </w:p>
    <w:p>
      <w:pPr>
        <w:pStyle w:val="BodyText"/>
      </w:pPr>
      <w:hyperlink r:id="rId35">
        <w:r>
          <w:rPr>
            <w:rStyle w:val="Hyperlink"/>
          </w:rPr>
          <w:t xml:space="preserve">https://www.deloitte.com/us/en/insights/industry/financial-services/alternative-data-for-investors-from-discovery-to-institutionalization.html</w:t>
        </w:r>
      </w:hyperlink>
    </w:p>
    <w:p>
      <w:pPr>
        <w:pStyle w:val="BodyText"/>
      </w:pPr>
      <w:hyperlink r:id="rId36">
        <w:r>
          <w:rPr>
            <w:rStyle w:val="Hyperlink"/>
          </w:rPr>
          <w:t xml:space="preserve">[15]</w:t>
        </w:r>
      </w:hyperlink>
      <w:r>
        <w:t xml:space="preserve"> </w:t>
      </w:r>
      <w:r>
        <w:t xml:space="preserve">https://www.wsj.com/video/fast-traders-are-getting-data-from-sec-seconds-early/AA7E083C-7D30-4B2E-AD0E-A2C8C68ABD5E</w:t>
      </w:r>
    </w:p>
    <w:p>
      <w:pPr>
        <w:pStyle w:val="BodyText"/>
      </w:pPr>
      <w:hyperlink r:id="rId36">
        <w:r>
          <w:rPr>
            <w:rStyle w:val="Hyperlink"/>
          </w:rPr>
          <w:t xml:space="preserve">https://www.wsj.com/video/fast-traders-are-getting-data-from-sec-seconds-early/AA7E083C-7D30-4B2E-AD0E-A2C8C68ABD5E</w:t>
        </w:r>
      </w:hyperlink>
    </w:p>
    <w:p>
      <w:pPr>
        <w:pStyle w:val="BodyText"/>
      </w:pPr>
      <w:hyperlink r:id="rId37">
        <w:r>
          <w:rPr>
            <w:rStyle w:val="Hyperlink"/>
          </w:rPr>
          <w:t xml:space="preserve">[16]</w:t>
        </w:r>
      </w:hyperlink>
      <w:r>
        <w:t xml:space="preserve"> </w:t>
      </w:r>
      <w:hyperlink r:id="rId37">
        <w:r>
          <w:rPr>
            <w:rStyle w:val="Hyperlink"/>
          </w:rPr>
          <w:t xml:space="preserve">[60]</w:t>
        </w:r>
      </w:hyperlink>
      <w:r>
        <w:t xml:space="preserve"> </w:t>
      </w:r>
      <w:r>
        <w:t xml:space="preserve">https://mitsloan.mit.edu/sites/default/files/inline-files/Chordia_Miao.pdf</w:t>
      </w:r>
    </w:p>
    <w:p>
      <w:pPr>
        <w:pStyle w:val="BodyText"/>
      </w:pPr>
      <w:hyperlink r:id="rId37">
        <w:r>
          <w:rPr>
            <w:rStyle w:val="Hyperlink"/>
          </w:rPr>
          <w:t xml:space="preserve">https://mitsloan.mit.edu/sites/default/files/inline-files/Chordia_Miao.pdf</w:t>
        </w:r>
      </w:hyperlink>
    </w:p>
    <w:p>
      <w:pPr>
        <w:pStyle w:val="BodyText"/>
      </w:pPr>
      <w:hyperlink r:id="rId39">
        <w:r>
          <w:rPr>
            <w:rStyle w:val="Hyperlink"/>
          </w:rPr>
          <w:t xml:space="preserve">[17]</w:t>
        </w:r>
      </w:hyperlink>
      <w:r>
        <w:t xml:space="preserve"> </w:t>
      </w:r>
      <w:hyperlink r:id="rId39">
        <w:r>
          <w:rPr>
            <w:rStyle w:val="Hyperlink"/>
          </w:rPr>
          <w:t xml:space="preserve">[34]</w:t>
        </w:r>
      </w:hyperlink>
      <w:r>
        <w:t xml:space="preserve"> </w:t>
      </w:r>
      <w:hyperlink r:id="rId39">
        <w:r>
          <w:rPr>
            <w:rStyle w:val="Hyperlink"/>
          </w:rPr>
          <w:t xml:space="preserve">[67]</w:t>
        </w:r>
      </w:hyperlink>
      <w:r>
        <w:t xml:space="preserve"> </w:t>
      </w:r>
      <w:r>
        <w:t xml:space="preserve">https://www.jstor.org/stable/43869094</w:t>
      </w:r>
    </w:p>
    <w:p>
      <w:pPr>
        <w:pStyle w:val="BodyText"/>
      </w:pPr>
      <w:hyperlink r:id="rId39">
        <w:r>
          <w:rPr>
            <w:rStyle w:val="Hyperlink"/>
          </w:rPr>
          <w:t xml:space="preserve">https://www.jstor.org/stable/43869094</w:t>
        </w:r>
      </w:hyperlink>
    </w:p>
    <w:p>
      <w:pPr>
        <w:pStyle w:val="BodyText"/>
      </w:pPr>
      <w:hyperlink r:id="rId40">
        <w:r>
          <w:rPr>
            <w:rStyle w:val="Hyperlink"/>
          </w:rPr>
          <w:t xml:space="preserve">[18]</w:t>
        </w:r>
      </w:hyperlink>
      <w:r>
        <w:t xml:space="preserve"> </w:t>
      </w:r>
      <w:r>
        <w:t xml:space="preserve">https://www.sciencedirect.com/science/article/pii/S0304405X19301618</w:t>
      </w:r>
    </w:p>
    <w:p>
      <w:pPr>
        <w:pStyle w:val="BodyText"/>
      </w:pPr>
      <w:hyperlink r:id="rId40">
        <w:r>
          <w:rPr>
            <w:rStyle w:val="Hyperlink"/>
          </w:rPr>
          <w:t xml:space="preserve">https://www.sciencedirect.com/science/article/pii/S0304405X19301618</w:t>
        </w:r>
      </w:hyperlink>
    </w:p>
    <w:p>
      <w:pPr>
        <w:pStyle w:val="BodyText"/>
      </w:pPr>
      <w:hyperlink r:id="rId41">
        <w:r>
          <w:rPr>
            <w:rStyle w:val="Hyperlink"/>
          </w:rPr>
          <w:t xml:space="preserve">[19]</w:t>
        </w:r>
      </w:hyperlink>
      <w:r>
        <w:t xml:space="preserve"> </w:t>
      </w:r>
      <w:hyperlink r:id="rId41">
        <w:r>
          <w:rPr>
            <w:rStyle w:val="Hyperlink"/>
          </w:rPr>
          <w:t xml:space="preserve">[21]</w:t>
        </w:r>
      </w:hyperlink>
      <w:r>
        <w:t xml:space="preserve"> </w:t>
      </w:r>
      <w:r>
        <w:t xml:space="preserve">https://www.jstor.org/stable/2329555</w:t>
      </w:r>
    </w:p>
    <w:p>
      <w:pPr>
        <w:pStyle w:val="BodyText"/>
      </w:pPr>
      <w:hyperlink r:id="rId41">
        <w:r>
          <w:rPr>
            <w:rStyle w:val="Hyperlink"/>
          </w:rPr>
          <w:t xml:space="preserve">https://www.jstor.org/stable/2329555</w:t>
        </w:r>
      </w:hyperlink>
    </w:p>
    <w:p>
      <w:pPr>
        <w:pStyle w:val="BodyText"/>
      </w:pPr>
      <w:hyperlink r:id="rId43">
        <w:r>
          <w:rPr>
            <w:rStyle w:val="Hyperlink"/>
          </w:rPr>
          <w:t xml:space="preserve">[22]</w:t>
        </w:r>
      </w:hyperlink>
      <w:r>
        <w:t xml:space="preserve"> </w:t>
      </w:r>
      <w:hyperlink r:id="rId43">
        <w:r>
          <w:rPr>
            <w:rStyle w:val="Hyperlink"/>
          </w:rPr>
          <w:t xml:space="preserve">[46]</w:t>
        </w:r>
      </w:hyperlink>
      <w:r>
        <w:t xml:space="preserve"> </w:t>
      </w:r>
      <w:r>
        <w:t xml:space="preserve">https://www.davidhbailey.com/dhbpapers/backtest-prob.pdf</w:t>
      </w:r>
    </w:p>
    <w:p>
      <w:pPr>
        <w:pStyle w:val="BodyText"/>
      </w:pPr>
      <w:hyperlink r:id="rId43">
        <w:r>
          <w:rPr>
            <w:rStyle w:val="Hyperlink"/>
          </w:rPr>
          <w:t xml:space="preserve">https://www.davidhbailey.com/dhbpapers/backtest-prob.pdf</w:t>
        </w:r>
      </w:hyperlink>
    </w:p>
    <w:p>
      <w:pPr>
        <w:pStyle w:val="BodyText"/>
      </w:pPr>
      <w:hyperlink r:id="rId46">
        <w:r>
          <w:rPr>
            <w:rStyle w:val="Hyperlink"/>
          </w:rPr>
          <w:t xml:space="preserve">[23]</w:t>
        </w:r>
      </w:hyperlink>
      <w:r>
        <w:t xml:space="preserve"> </w:t>
      </w:r>
      <w:r>
        <w:t xml:space="preserve">https://www.sec.gov/rules-regulations/staff-guidance/division-investment-management-frequently-asked-questions/frequently-asked-questions-about-form-13f</w:t>
      </w:r>
    </w:p>
    <w:p>
      <w:pPr>
        <w:pStyle w:val="BodyText"/>
      </w:pPr>
      <w:hyperlink r:id="rId46">
        <w:r>
          <w:rPr>
            <w:rStyle w:val="Hyperlink"/>
          </w:rPr>
          <w:t xml:space="preserve">https://www.sec.gov/rules-regulations/staff-guidance/division-investment-management-frequently-asked-questions/frequently-asked-questions-about-form-13f</w:t>
        </w:r>
      </w:hyperlink>
    </w:p>
    <w:p>
      <w:pPr>
        <w:pStyle w:val="BodyText"/>
      </w:pPr>
      <w:hyperlink r:id="rId47">
        <w:r>
          <w:rPr>
            <w:rStyle w:val="Hyperlink"/>
          </w:rPr>
          <w:t xml:space="preserve">[24]</w:t>
        </w:r>
      </w:hyperlink>
      <w:r>
        <w:t xml:space="preserve"> </w:t>
      </w:r>
      <w:r>
        <w:t xml:space="preserve">https://www.sec.gov/reports/rule-144-selling-restricted-control-securities</w:t>
      </w:r>
    </w:p>
    <w:p>
      <w:pPr>
        <w:pStyle w:val="BodyText"/>
      </w:pPr>
      <w:hyperlink r:id="rId47">
        <w:r>
          <w:rPr>
            <w:rStyle w:val="Hyperlink"/>
          </w:rPr>
          <w:t xml:space="preserve">https://www.sec.gov/reports/rule-144-selling-restricted-control-securities</w:t>
        </w:r>
      </w:hyperlink>
    </w:p>
    <w:p>
      <w:pPr>
        <w:pStyle w:val="BodyText"/>
      </w:pPr>
      <w:hyperlink r:id="rId48">
        <w:r>
          <w:rPr>
            <w:rStyle w:val="Hyperlink"/>
          </w:rPr>
          <w:t xml:space="preserve">[25]</w:t>
        </w:r>
      </w:hyperlink>
      <w:r>
        <w:t xml:space="preserve"> </w:t>
      </w:r>
      <w:r>
        <w:t xml:space="preserve">https://rodneywhitecenter.wharton.upenn.edu/wp-content/uploads/2014/04/13-15.musto_.pdf</w:t>
      </w:r>
    </w:p>
    <w:p>
      <w:pPr>
        <w:pStyle w:val="BodyText"/>
      </w:pPr>
      <w:hyperlink r:id="rId48">
        <w:r>
          <w:rPr>
            <w:rStyle w:val="Hyperlink"/>
          </w:rPr>
          <w:t xml:space="preserve">https://rodneywhitecenter.wharton.upenn.edu/wp-content/uploads/2014/04/13-15.musto_.pdf</w:t>
        </w:r>
      </w:hyperlink>
    </w:p>
    <w:p>
      <w:pPr>
        <w:pStyle w:val="BodyText"/>
      </w:pPr>
      <w:hyperlink r:id="rId49">
        <w:r>
          <w:rPr>
            <w:rStyle w:val="Hyperlink"/>
          </w:rPr>
          <w:t xml:space="preserve">[26]</w:t>
        </w:r>
      </w:hyperlink>
      <w:r>
        <w:t xml:space="preserve"> </w:t>
      </w:r>
      <w:r>
        <w:t xml:space="preserve">https://scholarworks.wmich.edu/math_pubs/42/</w:t>
      </w:r>
    </w:p>
    <w:p>
      <w:pPr>
        <w:pStyle w:val="BodyText"/>
      </w:pPr>
      <w:hyperlink r:id="rId49">
        <w:r>
          <w:rPr>
            <w:rStyle w:val="Hyperlink"/>
          </w:rPr>
          <w:t xml:space="preserve">https://scholarworks.wmich.edu/math_pubs/42/</w:t>
        </w:r>
      </w:hyperlink>
    </w:p>
    <w:p>
      <w:pPr>
        <w:pStyle w:val="BodyText"/>
      </w:pPr>
      <w:hyperlink r:id="rId50">
        <w:r>
          <w:rPr>
            <w:rStyle w:val="Hyperlink"/>
          </w:rPr>
          <w:t xml:space="preserve">[27]</w:t>
        </w:r>
      </w:hyperlink>
      <w:r>
        <w:t xml:space="preserve"> </w:t>
      </w:r>
      <w:hyperlink r:id="rId50">
        <w:r>
          <w:rPr>
            <w:rStyle w:val="Hyperlink"/>
          </w:rPr>
          <w:t xml:space="preserve">[33]</w:t>
        </w:r>
      </w:hyperlink>
      <w:r>
        <w:t xml:space="preserve"> </w:t>
      </w:r>
      <w:hyperlink r:id="rId50">
        <w:r>
          <w:rPr>
            <w:rStyle w:val="Hyperlink"/>
          </w:rPr>
          <w:t xml:space="preserve">[39]</w:t>
        </w:r>
      </w:hyperlink>
      <w:r>
        <w:t xml:space="preserve"> </w:t>
      </w:r>
      <w:hyperlink r:id="rId50">
        <w:r>
          <w:rPr>
            <w:rStyle w:val="Hyperlink"/>
          </w:rPr>
          <w:t xml:space="preserve">[61]</w:t>
        </w:r>
      </w:hyperlink>
      <w:r>
        <w:t xml:space="preserve"> </w:t>
      </w:r>
      <w:hyperlink r:id="rId50">
        <w:r>
          <w:rPr>
            <w:rStyle w:val="Hyperlink"/>
          </w:rPr>
          <w:t xml:space="preserve">[64]</w:t>
        </w:r>
      </w:hyperlink>
      <w:r>
        <w:t xml:space="preserve"> </w:t>
      </w:r>
      <w:hyperlink r:id="rId50">
        <w:r>
          <w:rPr>
            <w:rStyle w:val="Hyperlink"/>
          </w:rPr>
          <w:t xml:space="preserve">[66]</w:t>
        </w:r>
      </w:hyperlink>
      <w:r>
        <w:t xml:space="preserve"> </w:t>
      </w:r>
      <w:r>
        <w:t xml:space="preserve">https://users.ssc.wisc.edu/~behansen/718/White2000.pdf</w:t>
      </w:r>
    </w:p>
    <w:p>
      <w:pPr>
        <w:pStyle w:val="BodyText"/>
      </w:pPr>
      <w:hyperlink r:id="rId50">
        <w:r>
          <w:rPr>
            <w:rStyle w:val="Hyperlink"/>
          </w:rPr>
          <w:t xml:space="preserve">https://users.ssc.wisc.edu/~behansen/718/White2000.pdf</w:t>
        </w:r>
      </w:hyperlink>
    </w:p>
    <w:p>
      <w:pPr>
        <w:pStyle w:val="BodyText"/>
      </w:pPr>
      <w:hyperlink r:id="rId51">
        <w:r>
          <w:rPr>
            <w:rStyle w:val="Hyperlink"/>
          </w:rPr>
          <w:t xml:space="preserve">[28]</w:t>
        </w:r>
      </w:hyperlink>
      <w:r>
        <w:t xml:space="preserve"> </w:t>
      </w:r>
      <w:r>
        <w:t xml:space="preserve">https://www.jstor.org/stable/27638834</w:t>
      </w:r>
    </w:p>
    <w:p>
      <w:pPr>
        <w:pStyle w:val="BodyText"/>
      </w:pPr>
      <w:hyperlink r:id="rId51">
        <w:r>
          <w:rPr>
            <w:rStyle w:val="Hyperlink"/>
          </w:rPr>
          <w:t xml:space="preserve">https://www.jstor.org/stable/27638834</w:t>
        </w:r>
      </w:hyperlink>
    </w:p>
    <w:p>
      <w:pPr>
        <w:pStyle w:val="BodyText"/>
      </w:pPr>
      <w:hyperlink r:id="rId52">
        <w:r>
          <w:rPr>
            <w:rStyle w:val="Hyperlink"/>
          </w:rPr>
          <w:t xml:space="preserve">[29]</w:t>
        </w:r>
      </w:hyperlink>
      <w:r>
        <w:t xml:space="preserve"> </w:t>
      </w:r>
      <w:r>
        <w:t xml:space="preserve">https://rpc.cfainstitute.org/research/financial-analysts-journal/2002/the-statistics-of-sharpe-ratios</w:t>
      </w:r>
    </w:p>
    <w:p>
      <w:pPr>
        <w:pStyle w:val="BodyText"/>
      </w:pPr>
      <w:hyperlink r:id="rId52">
        <w:r>
          <w:rPr>
            <w:rStyle w:val="Hyperlink"/>
          </w:rPr>
          <w:t xml:space="preserve">https://rpc.cfainstitute.org/research/financial-analysts-journal/2002/the-statistics-of-sharpe-ratios</w:t>
        </w:r>
      </w:hyperlink>
    </w:p>
    <w:p>
      <w:pPr>
        <w:pStyle w:val="BodyText"/>
      </w:pPr>
      <w:hyperlink r:id="rId55">
        <w:r>
          <w:rPr>
            <w:rStyle w:val="Hyperlink"/>
          </w:rPr>
          <w:t xml:space="preserve">[30]</w:t>
        </w:r>
      </w:hyperlink>
      <w:r>
        <w:t xml:space="preserve"> </w:t>
      </w:r>
      <w:r>
        <w:t xml:space="preserve">https://www.jstor.org/stable/2346101</w:t>
      </w:r>
    </w:p>
    <w:p>
      <w:pPr>
        <w:pStyle w:val="BodyText"/>
      </w:pPr>
      <w:hyperlink r:id="rId55">
        <w:r>
          <w:rPr>
            <w:rStyle w:val="Hyperlink"/>
          </w:rPr>
          <w:t xml:space="preserve">https://www.jstor.org/stable/2346101</w:t>
        </w:r>
      </w:hyperlink>
    </w:p>
    <w:p>
      <w:pPr>
        <w:pStyle w:val="BodyText"/>
      </w:pPr>
      <w:hyperlink r:id="rId56">
        <w:r>
          <w:rPr>
            <w:rStyle w:val="Hyperlink"/>
          </w:rPr>
          <w:t xml:space="preserve">[31]</w:t>
        </w:r>
      </w:hyperlink>
      <w:r>
        <w:t xml:space="preserve"> </w:t>
      </w:r>
      <w:r>
        <w:t xml:space="preserve">https://www.jstor.org/stable/4615733</w:t>
      </w:r>
    </w:p>
    <w:p>
      <w:pPr>
        <w:pStyle w:val="BodyText"/>
      </w:pPr>
      <w:hyperlink r:id="rId56">
        <w:r>
          <w:rPr>
            <w:rStyle w:val="Hyperlink"/>
          </w:rPr>
          <w:t xml:space="preserve">https://www.jstor.org/stable/4615733</w:t>
        </w:r>
      </w:hyperlink>
    </w:p>
    <w:p>
      <w:pPr>
        <w:pStyle w:val="BodyText"/>
      </w:pPr>
      <w:hyperlink r:id="rId57">
        <w:r>
          <w:rPr>
            <w:rStyle w:val="Hyperlink"/>
          </w:rPr>
          <w:t xml:space="preserve">[32]</w:t>
        </w:r>
      </w:hyperlink>
      <w:r>
        <w:t xml:space="preserve"> </w:t>
      </w:r>
      <w:r>
        <w:t xml:space="preserve">https://www-stat.wharton.upenn.edu/~steele/Courses/956/Resource/MultipleComparision/RomanoWolf05.pdf</w:t>
      </w:r>
    </w:p>
    <w:p>
      <w:pPr>
        <w:pStyle w:val="BodyText"/>
      </w:pPr>
      <w:hyperlink r:id="rId57">
        <w:r>
          <w:rPr>
            <w:rStyle w:val="Hyperlink"/>
          </w:rPr>
          <w:t xml:space="preserve">https://www-stat.wharton.upenn.edu/~steele/Courses/956/Resource/MultipleComparision/RomanoWolf05.pdf</w:t>
        </w:r>
      </w:hyperlink>
    </w:p>
    <w:p>
      <w:pPr>
        <w:pStyle w:val="BodyText"/>
      </w:pPr>
      <w:hyperlink r:id="rId60">
        <w:r>
          <w:rPr>
            <w:rStyle w:val="Hyperlink"/>
          </w:rPr>
          <w:t xml:space="preserve">[36]</w:t>
        </w:r>
      </w:hyperlink>
      <w:r>
        <w:t xml:space="preserve"> </w:t>
      </w:r>
      <w:hyperlink r:id="rId60">
        <w:r>
          <w:rPr>
            <w:rStyle w:val="Hyperlink"/>
          </w:rPr>
          <w:t xml:space="preserve">[44]</w:t>
        </w:r>
      </w:hyperlink>
      <w:r>
        <w:t xml:space="preserve"> </w:t>
      </w:r>
      <w:r>
        <w:t xml:space="preserve">https://www.davidhbailey.com/dhbpapers/deflated-sharpe.pdf</w:t>
      </w:r>
    </w:p>
    <w:p>
      <w:pPr>
        <w:pStyle w:val="BodyText"/>
      </w:pPr>
      <w:hyperlink r:id="rId60">
        <w:r>
          <w:rPr>
            <w:rStyle w:val="Hyperlink"/>
          </w:rPr>
          <w:t xml:space="preserve">https://www.davidhbailey.com/dhbpapers/deflated-sharpe.pdf</w:t>
        </w:r>
      </w:hyperlink>
    </w:p>
    <w:p>
      <w:pPr>
        <w:pStyle w:val="BodyText"/>
      </w:pPr>
      <w:hyperlink r:id="rId62">
        <w:r>
          <w:rPr>
            <w:rStyle w:val="Hyperlink"/>
          </w:rPr>
          <w:t xml:space="preserve">[37]</w:t>
        </w:r>
      </w:hyperlink>
      <w:r>
        <w:t xml:space="preserve"> </w:t>
      </w:r>
      <w:hyperlink r:id="rId62">
        <w:r>
          <w:rPr>
            <w:rStyle w:val="Hyperlink"/>
          </w:rPr>
          <w:t xml:space="preserve">[40]</w:t>
        </w:r>
      </w:hyperlink>
      <w:r>
        <w:t xml:space="preserve"> </w:t>
      </w:r>
      <w:hyperlink r:id="rId62">
        <w:r>
          <w:rPr>
            <w:rStyle w:val="Hyperlink"/>
          </w:rPr>
          <w:t xml:space="preserve">[51]</w:t>
        </w:r>
      </w:hyperlink>
      <w:r>
        <w:t xml:space="preserve"> </w:t>
      </w:r>
      <w:r>
        <w:t xml:space="preserve">https://www.ivo-welch.info/research/journalcopy/2008-rfs.pdf</w:t>
      </w:r>
    </w:p>
    <w:p>
      <w:pPr>
        <w:pStyle w:val="BodyText"/>
      </w:pPr>
      <w:hyperlink r:id="rId62">
        <w:r>
          <w:rPr>
            <w:rStyle w:val="Hyperlink"/>
          </w:rPr>
          <w:t xml:space="preserve">https://www.ivo-welch.info/research/journalcopy/2008-rfs.pdf</w:t>
        </w:r>
      </w:hyperlink>
    </w:p>
    <w:p>
      <w:pPr>
        <w:pStyle w:val="BodyText"/>
      </w:pPr>
      <w:hyperlink r:id="rId63">
        <w:r>
          <w:rPr>
            <w:rStyle w:val="Hyperlink"/>
          </w:rPr>
          <w:t xml:space="preserve">[38]</w:t>
        </w:r>
      </w:hyperlink>
      <w:r>
        <w:t xml:space="preserve"> </w:t>
      </w:r>
      <w:r>
        <w:t xml:space="preserve">https://www.wiley.com/en-us/Advances%2Bin%2BFinancial%2BMachine%2BLearning-p-9781119482086</w:t>
      </w:r>
    </w:p>
    <w:p>
      <w:pPr>
        <w:pStyle w:val="BodyText"/>
      </w:pPr>
      <w:hyperlink r:id="rId63">
        <w:r>
          <w:rPr>
            <w:rStyle w:val="Hyperlink"/>
          </w:rPr>
          <w:t xml:space="preserve">https://www.wiley.com/en-us/Advances%2Bin%2BFinancial%2BMachine%2BLearning-p-9781119482086</w:t>
        </w:r>
      </w:hyperlink>
    </w:p>
    <w:p>
      <w:pPr>
        <w:pStyle w:val="BodyText"/>
      </w:pPr>
      <w:hyperlink r:id="rId67">
        <w:r>
          <w:rPr>
            <w:rStyle w:val="Hyperlink"/>
          </w:rPr>
          <w:t xml:space="preserve">[43]</w:t>
        </w:r>
      </w:hyperlink>
      <w:r>
        <w:t xml:space="preserve"> </w:t>
      </w:r>
      <w:r>
        <w:t xml:space="preserve">https://swh.princeton.edu/~bmalkiel/Book%20Review%2C%20A%20Man%20for%20All%20Markets.pdf</w:t>
      </w:r>
    </w:p>
    <w:p>
      <w:pPr>
        <w:pStyle w:val="BodyText"/>
      </w:pPr>
      <w:hyperlink r:id="rId67">
        <w:r>
          <w:rPr>
            <w:rStyle w:val="Hyperlink"/>
          </w:rPr>
          <w:t xml:space="preserve">https://swh.princeton.edu/~bmalkiel/Book%20Review%2C%20A%20Man%20for%20All%20Markets.pdf</w:t>
        </w:r>
      </w:hyperlink>
    </w:p>
    <w:p>
      <w:pPr>
        <w:pStyle w:val="BodyText"/>
      </w:pPr>
      <w:hyperlink r:id="rId69">
        <w:r>
          <w:rPr>
            <w:rStyle w:val="Hyperlink"/>
          </w:rPr>
          <w:t xml:space="preserve">[45]</w:t>
        </w:r>
      </w:hyperlink>
      <w:r>
        <w:t xml:space="preserve"> </w:t>
      </w:r>
      <w:r>
        <w:t xml:space="preserve">https://ppuertos.github.io/financial-ml-core/reference/model_selection/split/</w:t>
      </w:r>
    </w:p>
    <w:p>
      <w:pPr>
        <w:pStyle w:val="BodyText"/>
      </w:pPr>
      <w:hyperlink r:id="rId69">
        <w:r>
          <w:rPr>
            <w:rStyle w:val="Hyperlink"/>
          </w:rPr>
          <w:t xml:space="preserve">https://ppuertos.github.io/financial-ml-core/reference/model_selection/split/</w:t>
        </w:r>
      </w:hyperlink>
    </w:p>
    <w:p>
      <w:pPr>
        <w:pStyle w:val="BodyText"/>
      </w:pPr>
      <w:hyperlink r:id="rId72">
        <w:r>
          <w:rPr>
            <w:rStyle w:val="Hyperlink"/>
          </w:rPr>
          <w:t xml:space="preserve">[47]</w:t>
        </w:r>
      </w:hyperlink>
      <w:r>
        <w:t xml:space="preserve"> </w:t>
      </w:r>
      <w:r>
        <w:t xml:space="preserve">https://www.jstor.org/stable/3008764</w:t>
      </w:r>
    </w:p>
    <w:p>
      <w:pPr>
        <w:pStyle w:val="BodyText"/>
      </w:pPr>
      <w:hyperlink r:id="rId72">
        <w:r>
          <w:rPr>
            <w:rStyle w:val="Hyperlink"/>
          </w:rPr>
          <w:t xml:space="preserve">https://www.jstor.org/stable/3008764</w:t>
        </w:r>
      </w:hyperlink>
    </w:p>
    <w:p>
      <w:pPr>
        <w:pStyle w:val="BodyText"/>
      </w:pPr>
      <w:hyperlink r:id="rId73">
        <w:r>
          <w:rPr>
            <w:rStyle w:val="Hyperlink"/>
          </w:rPr>
          <w:t xml:space="preserve">[48]</w:t>
        </w:r>
      </w:hyperlink>
      <w:r>
        <w:t xml:space="preserve"> </w:t>
      </w:r>
      <w:r>
        <w:t xml:space="preserve">https://www.aqr.com/-/media/AQR/Documents/Journal-Articles/AQRJPMQuant23FactFictionandFactorInvesting.pdf?sc_lang=en</w:t>
      </w:r>
    </w:p>
    <w:p>
      <w:pPr>
        <w:pStyle w:val="BodyText"/>
      </w:pPr>
      <w:hyperlink r:id="rId73">
        <w:r>
          <w:rPr>
            <w:rStyle w:val="Hyperlink"/>
          </w:rPr>
          <w:t xml:space="preserve">https://www.aqr.com/-/media/AQR/Documents/Journal-Articles/AQRJPMQuant23FactFictionandFactorInvesting.pdf?sc_lang=en</w:t>
        </w:r>
      </w:hyperlink>
    </w:p>
    <w:p>
      <w:pPr>
        <w:pStyle w:val="BodyText"/>
      </w:pPr>
      <w:hyperlink r:id="rId79">
        <w:r>
          <w:rPr>
            <w:rStyle w:val="Hyperlink"/>
          </w:rPr>
          <w:t xml:space="preserve">[52]</w:t>
        </w:r>
      </w:hyperlink>
      <w:r>
        <w:t xml:space="preserve"> </w:t>
      </w:r>
      <w:hyperlink r:id="rId79">
        <w:r>
          <w:rPr>
            <w:rStyle w:val="Hyperlink"/>
          </w:rPr>
          <w:t xml:space="preserve">[59]</w:t>
        </w:r>
      </w:hyperlink>
      <w:r>
        <w:t xml:space="preserve"> </w:t>
      </w:r>
      <w:r>
        <w:t xml:space="preserve">https://www.pm-research.com/content/iijpormgmt/49/2/57.full.pdf</w:t>
      </w:r>
    </w:p>
    <w:p>
      <w:pPr>
        <w:pStyle w:val="BodyText"/>
      </w:pPr>
      <w:hyperlink r:id="rId79">
        <w:r>
          <w:rPr>
            <w:rStyle w:val="Hyperlink"/>
          </w:rPr>
          <w:t xml:space="preserve">https://www.pm-research.com/content/iijpormgmt/49/2/57.full.pdf</w:t>
        </w:r>
      </w:hyperlink>
    </w:p>
    <w:p>
      <w:pPr>
        <w:pStyle w:val="BodyText"/>
      </w:pPr>
      <w:hyperlink r:id="rId81">
        <w:r>
          <w:rPr>
            <w:rStyle w:val="Hyperlink"/>
          </w:rPr>
          <w:t xml:space="preserve">[53]</w:t>
        </w:r>
      </w:hyperlink>
      <w:r>
        <w:t xml:space="preserve"> </w:t>
      </w:r>
      <w:r>
        <w:t xml:space="preserve">https://www.davidhbailey.com/dhbpapers/sharpe-frontier.pdf</w:t>
      </w:r>
    </w:p>
    <w:p>
      <w:pPr>
        <w:pStyle w:val="BodyText"/>
      </w:pPr>
      <w:hyperlink r:id="rId81">
        <w:r>
          <w:rPr>
            <w:rStyle w:val="Hyperlink"/>
          </w:rPr>
          <w:t xml:space="preserve">https://www.davidhbailey.com/dhbpapers/sharpe-frontier.pdf</w:t>
        </w:r>
      </w:hyperlink>
    </w:p>
    <w:p>
      <w:pPr>
        <w:pStyle w:val="BodyText"/>
      </w:pPr>
      <w:hyperlink r:id="rId82">
        <w:r>
          <w:rPr>
            <w:rStyle w:val="Hyperlink"/>
          </w:rPr>
          <w:t xml:space="preserve">[55]</w:t>
        </w:r>
      </w:hyperlink>
      <w:r>
        <w:t xml:space="preserve"> </w:t>
      </w:r>
      <w:r>
        <w:t xml:space="preserve">https://www.aqr.com/-/media/AQR/Documents/Insights/Interviews/AQR-Words-from-the-Wise-Ed-Thorp.pdf</w:t>
      </w:r>
    </w:p>
    <w:p>
      <w:pPr>
        <w:pStyle w:val="BodyText"/>
      </w:pPr>
      <w:hyperlink r:id="rId82">
        <w:r>
          <w:rPr>
            <w:rStyle w:val="Hyperlink"/>
          </w:rPr>
          <w:t xml:space="preserve">https://www.aqr.com/-/media/AQR/Documents/Insights/Interviews/AQR-Words-from-the-Wise-Ed-Thorp.pdf</w:t>
        </w:r>
      </w:hyperlink>
    </w:p>
    <w:p>
      <w:pPr>
        <w:pStyle w:val="BodyText"/>
      </w:pPr>
      <w:hyperlink r:id="rId85">
        <w:r>
          <w:rPr>
            <w:rStyle w:val="Hyperlink"/>
          </w:rPr>
          <w:t xml:space="preserve">[56]</w:t>
        </w:r>
      </w:hyperlink>
      <w:r>
        <w:t xml:space="preserve"> </w:t>
      </w:r>
      <w:r>
        <w:t xml:space="preserve">https://www.marketwatch.com/story/jim-simons-was-the-greatest-ray-dalio-others-pay-tribute-to-trading-legend-1109b829</w:t>
      </w:r>
    </w:p>
    <w:p>
      <w:pPr>
        <w:pStyle w:val="BodyText"/>
      </w:pPr>
      <w:hyperlink r:id="rId85">
        <w:r>
          <w:rPr>
            <w:rStyle w:val="Hyperlink"/>
          </w:rPr>
          <w:t xml:space="preserve">https://www.marketwatch.com/story/jim-simons-was-the-greatest-ray-dalio-others-pay-tribute-to-trading-legend-1109b829</w:t>
        </w:r>
      </w:hyperlink>
    </w:p>
    <w:p>
      <w:pPr>
        <w:pStyle w:val="BodyText"/>
      </w:pPr>
      <w:hyperlink r:id="rId86">
        <w:r>
          <w:rPr>
            <w:rStyle w:val="Hyperlink"/>
          </w:rPr>
          <w:t xml:space="preserve">[57]</w:t>
        </w:r>
      </w:hyperlink>
      <w:r>
        <w:t xml:space="preserve"> </w:t>
      </w:r>
      <w:r>
        <w:t xml:space="preserve">https://www.principles.com/principles/7df5502f-46e5-47d5-8fd7-8fc70843b726</w:t>
      </w:r>
    </w:p>
    <w:p>
      <w:pPr>
        <w:pStyle w:val="BodyText"/>
      </w:pPr>
      <w:hyperlink r:id="rId86">
        <w:r>
          <w:rPr>
            <w:rStyle w:val="Hyperlink"/>
          </w:rPr>
          <w:t xml:space="preserve">https://www.principles.com/principles/7df5502f-46e5-47d5-8fd7-8fc70843b726</w:t>
        </w:r>
      </w:hyperlink>
    </w:p>
    <w:p>
      <w:pPr>
        <w:pStyle w:val="BodyText"/>
      </w:pPr>
      <w:hyperlink r:id="rId87">
        <w:r>
          <w:rPr>
            <w:rStyle w:val="Hyperlink"/>
          </w:rPr>
          <w:t xml:space="preserve">[58]</w:t>
        </w:r>
      </w:hyperlink>
      <w:r>
        <w:t xml:space="preserve"> </w:t>
      </w:r>
      <w:r>
        <w:t xml:space="preserve">https://www.aqr.com/Insights/Perspectives/The-Replication-Crisis-That-Wasnt</w:t>
      </w:r>
    </w:p>
    <w:p>
      <w:pPr>
        <w:pStyle w:val="BodyText"/>
      </w:pPr>
      <w:hyperlink r:id="rId87">
        <w:r>
          <w:rPr>
            <w:rStyle w:val="Hyperlink"/>
          </w:rPr>
          <w:t xml:space="preserve">https://www.aqr.com/Insights/Perspectives/The-Replication-Crisis-That-Wasnt</w:t>
        </w:r>
      </w:hyperlink>
    </w:p>
    <w:p>
      <w:pPr>
        <w:pStyle w:val="BodyText"/>
      </w:pPr>
      <w:hyperlink r:id="rId89">
        <w:r>
          <w:rPr>
            <w:rStyle w:val="Hyperlink"/>
          </w:rPr>
          <w:t xml:space="preserve">[62]</w:t>
        </w:r>
      </w:hyperlink>
      <w:r>
        <w:t xml:space="preserve"> </w:t>
      </w:r>
      <w:r>
        <w:t xml:space="preserve">https://www.berkshirehathaway.com/letters/2013ltr.pdf</w:t>
      </w:r>
    </w:p>
    <w:p>
      <w:pPr>
        <w:pStyle w:val="BodyText"/>
      </w:pPr>
      <w:hyperlink r:id="rId89">
        <w:r>
          <w:rPr>
            <w:rStyle w:val="Hyperlink"/>
          </w:rPr>
          <w:t xml:space="preserve">https://www.berkshirehathaway.com/letters/2013ltr.pdf</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cademic.oup.com/rfs/article-abstract/29/1/5/1843824" TargetMode="External" /><Relationship Type="http://schemas.openxmlformats.org/officeDocument/2006/relationships/hyperlink" Id="rId33" Target="https://hub.hku.hk/bitstream/10722/275443/1/Content.pdf" TargetMode="External" /><Relationship Type="http://schemas.openxmlformats.org/officeDocument/2006/relationships/hyperlink" Id="rId37" Target="https://mitsloan.mit.edu/sites/default/files/inline-files/Chordia_Miao.pdf" TargetMode="External" /><Relationship Type="http://schemas.openxmlformats.org/officeDocument/2006/relationships/hyperlink" Id="rId69" Target="https://ppuertos.github.io/financial-ml-core/reference/model_selection/split/" TargetMode="External" /><Relationship Type="http://schemas.openxmlformats.org/officeDocument/2006/relationships/hyperlink" Id="rId48" Target="https://rodneywhitecenter.wharton.upenn.edu/wp-content/uploads/2014/04/13-15.musto_.pdf" TargetMode="External" /><Relationship Type="http://schemas.openxmlformats.org/officeDocument/2006/relationships/hyperlink" Id="rId52" Target="https://rpc.cfainstitute.org/research/financial-analysts-journal/2002/the-statistics-of-sharpe-ratios" TargetMode="External" /><Relationship Type="http://schemas.openxmlformats.org/officeDocument/2006/relationships/hyperlink" Id="rId49" Target="https://scholarworks.wmich.edu/math_pubs/42/" TargetMode="External" /><Relationship Type="http://schemas.openxmlformats.org/officeDocument/2006/relationships/hyperlink" Id="rId67" Target="https://swh.princeton.edu/~bmalkiel/Book%20Review%2C%20A%20Man%20for%20All%20Markets.pdf" TargetMode="External" /><Relationship Type="http://schemas.openxmlformats.org/officeDocument/2006/relationships/hyperlink" Id="rId50" Target="https://users.ssc.wisc.edu/~behansen/718/White2000.pdf" TargetMode="External" /><Relationship Type="http://schemas.openxmlformats.org/officeDocument/2006/relationships/hyperlink" Id="rId22" Target="https://web.mit.edu/Alo/www/Papers/JPM2004_Pub.pdf" TargetMode="External" /><Relationship Type="http://schemas.openxmlformats.org/officeDocument/2006/relationships/hyperlink" Id="rId57" Target="https://www-stat.wharton.upenn.edu/~steele/Courses/956/Resource/MultipleComparision/RomanoWolf05.pdf" TargetMode="External" /><Relationship Type="http://schemas.openxmlformats.org/officeDocument/2006/relationships/hyperlink" Id="rId82" Target="https://www.aqr.com/-/media/AQR/Documents/Insights/Interviews/AQR-Words-from-the-Wise-Ed-Thorp.pdf" TargetMode="External" /><Relationship Type="http://schemas.openxmlformats.org/officeDocument/2006/relationships/hyperlink" Id="rId73" Target="https://www.aqr.com/-/media/AQR/Documents/Journal-Articles/AQRJPMQuant23FactFictionandFactorInvesting.pdf?sc_lang=en" TargetMode="External" /><Relationship Type="http://schemas.openxmlformats.org/officeDocument/2006/relationships/hyperlink" Id="rId87" Target="https://www.aqr.com/Insights/Perspectives/The-Replication-Crisis-That-Wasnt" TargetMode="External" /><Relationship Type="http://schemas.openxmlformats.org/officeDocument/2006/relationships/hyperlink" Id="rId89" Target="https://www.berkshirehathaway.com/letters/2013ltr.pdf" TargetMode="External" /><Relationship Type="http://schemas.openxmlformats.org/officeDocument/2006/relationships/hyperlink" Id="rId32" Target="https://www.cambridge.org/core/services/aop-cambridge-core/content/view/437C230243B5CCD0174A333D4806F018/S0022109025101610a.pdf/labor_links_comovement_and_predictable_returns.pdf" TargetMode="External" /><Relationship Type="http://schemas.openxmlformats.org/officeDocument/2006/relationships/hyperlink" Id="rId43" Target="https://www.davidhbailey.com/dhbpapers/backtest-prob.pdf" TargetMode="External" /><Relationship Type="http://schemas.openxmlformats.org/officeDocument/2006/relationships/hyperlink" Id="rId60" Target="https://www.davidhbailey.com/dhbpapers/deflated-sharpe.pdf" TargetMode="External" /><Relationship Type="http://schemas.openxmlformats.org/officeDocument/2006/relationships/hyperlink" Id="rId81" Target="https://www.davidhbailey.com/dhbpapers/sharpe-frontier.pdf" TargetMode="External" /><Relationship Type="http://schemas.openxmlformats.org/officeDocument/2006/relationships/hyperlink" Id="rId35" Target="https://www.deloitte.com/us/en/insights/industry/financial-services/alternative-data-for-investors-from-discovery-to-institutionalization.html" TargetMode="External" /><Relationship Type="http://schemas.openxmlformats.org/officeDocument/2006/relationships/hyperlink" Id="rId23" Target="https://www.ft.com/content/ec06fe06-6150-4f39-8175-37b9b61a5520" TargetMode="External" /><Relationship Type="http://schemas.openxmlformats.org/officeDocument/2006/relationships/hyperlink" Id="rId26" Target="https://www.investor.gov/introduction-investing/general-resources/news-alerts/alerts-bulletins/investor-bulletins-69" TargetMode="External" /><Relationship Type="http://schemas.openxmlformats.org/officeDocument/2006/relationships/hyperlink" Id="rId62" Target="https://www.ivo-welch.info/research/journalcopy/2008-rfs.pdf" TargetMode="External" /><Relationship Type="http://schemas.openxmlformats.org/officeDocument/2006/relationships/hyperlink" Id="rId21" Target="https://www.jstor.org/stable/2325486" TargetMode="External" /><Relationship Type="http://schemas.openxmlformats.org/officeDocument/2006/relationships/hyperlink" Id="rId41" Target="https://www.jstor.org/stable/2329555" TargetMode="External" /><Relationship Type="http://schemas.openxmlformats.org/officeDocument/2006/relationships/hyperlink" Id="rId55" Target="https://www.jstor.org/stable/2346101" TargetMode="External" /><Relationship Type="http://schemas.openxmlformats.org/officeDocument/2006/relationships/hyperlink" Id="rId51" Target="https://www.jstor.org/stable/27638834" TargetMode="External" /><Relationship Type="http://schemas.openxmlformats.org/officeDocument/2006/relationships/hyperlink" Id="rId30" Target="https://www.jstor.org/stable/29789771" TargetMode="External" /><Relationship Type="http://schemas.openxmlformats.org/officeDocument/2006/relationships/hyperlink" Id="rId72" Target="https://www.jstor.org/stable/3008764" TargetMode="External" /><Relationship Type="http://schemas.openxmlformats.org/officeDocument/2006/relationships/hyperlink" Id="rId29" Target="https://www.jstor.org/stable/41305167" TargetMode="External" /><Relationship Type="http://schemas.openxmlformats.org/officeDocument/2006/relationships/hyperlink" Id="rId39" Target="https://www.jstor.org/stable/43869094" TargetMode="External" /><Relationship Type="http://schemas.openxmlformats.org/officeDocument/2006/relationships/hyperlink" Id="rId56" Target="https://www.jstor.org/stable/4615733" TargetMode="External" /><Relationship Type="http://schemas.openxmlformats.org/officeDocument/2006/relationships/hyperlink" Id="rId31" Target="https://www.jstor.org/stable/pdfplus/4622297.pdf" TargetMode="External" /><Relationship Type="http://schemas.openxmlformats.org/officeDocument/2006/relationships/hyperlink" Id="rId85" Target="https://www.marketwatch.com/story/jim-simons-was-the-greatest-ray-dalio-others-pay-tribute-to-trading-legend-1109b829" TargetMode="External" /><Relationship Type="http://schemas.openxmlformats.org/officeDocument/2006/relationships/hyperlink" Id="rId28" Target="https://www.mit.edu/~junpan/volume.pdf" TargetMode="External" /><Relationship Type="http://schemas.openxmlformats.org/officeDocument/2006/relationships/hyperlink" Id="rId27" Target="https://www.nber.org/papers/w6913" TargetMode="External" /><Relationship Type="http://schemas.openxmlformats.org/officeDocument/2006/relationships/hyperlink" Id="rId79" Target="https://www.pm-research.com/content/iijpormgmt/49/2/57.full.pdf" TargetMode="External" /><Relationship Type="http://schemas.openxmlformats.org/officeDocument/2006/relationships/hyperlink" Id="rId86" Target="https://www.principles.com/principles/7df5502f-46e5-47d5-8fd7-8fc70843b726" TargetMode="External" /><Relationship Type="http://schemas.openxmlformats.org/officeDocument/2006/relationships/hyperlink" Id="rId40" Target="https://www.sciencedirect.com/science/article/pii/S0304405X19301618" TargetMode="External" /><Relationship Type="http://schemas.openxmlformats.org/officeDocument/2006/relationships/hyperlink" Id="rId47" Target="https://www.sec.gov/reports/rule-144-selling-restricted-control-securities" TargetMode="External" /><Relationship Type="http://schemas.openxmlformats.org/officeDocument/2006/relationships/hyperlink" Id="rId46" Target="https://www.sec.gov/rules-regulations/staff-guidance/division-investment-management-frequently-asked-questions/frequently-asked-questions-about-form-13f" TargetMode="External" /><Relationship Type="http://schemas.openxmlformats.org/officeDocument/2006/relationships/hyperlink" Id="rId63" Target="https://www.wiley.com/en-us/Advances%2Bin%2BFinancial%2BMachine%2BLearning-p-9781119482086" TargetMode="External" /><Relationship Type="http://schemas.openxmlformats.org/officeDocument/2006/relationships/hyperlink" Id="rId36" Target="https://www.wsj.com/video/fast-traders-are-getting-data-from-sec-seconds-early/AA7E083C-7D30-4B2E-AD0E-A2C8C68ABD5E" TargetMode="External" /></Relationships>
</file>

<file path=word/_rels/footnotes.xml.rels><?xml version="1.0" encoding="UTF-8"?><Relationships xmlns="http://schemas.openxmlformats.org/package/2006/relationships"><Relationship Type="http://schemas.openxmlformats.org/officeDocument/2006/relationships/hyperlink" Id="rId25" Target="https://academic.oup.com/rfs/article-abstract/29/1/5/1843824" TargetMode="External" /><Relationship Type="http://schemas.openxmlformats.org/officeDocument/2006/relationships/hyperlink" Id="rId33" Target="https://hub.hku.hk/bitstream/10722/275443/1/Content.pdf" TargetMode="External" /><Relationship Type="http://schemas.openxmlformats.org/officeDocument/2006/relationships/hyperlink" Id="rId37" Target="https://mitsloan.mit.edu/sites/default/files/inline-files/Chordia_Miao.pdf" TargetMode="External" /><Relationship Type="http://schemas.openxmlformats.org/officeDocument/2006/relationships/hyperlink" Id="rId69" Target="https://ppuertos.github.io/financial-ml-core/reference/model_selection/split/" TargetMode="External" /><Relationship Type="http://schemas.openxmlformats.org/officeDocument/2006/relationships/hyperlink" Id="rId48" Target="https://rodneywhitecenter.wharton.upenn.edu/wp-content/uploads/2014/04/13-15.musto_.pdf" TargetMode="External" /><Relationship Type="http://schemas.openxmlformats.org/officeDocument/2006/relationships/hyperlink" Id="rId52" Target="https://rpc.cfainstitute.org/research/financial-analysts-journal/2002/the-statistics-of-sharpe-ratios" TargetMode="External" /><Relationship Type="http://schemas.openxmlformats.org/officeDocument/2006/relationships/hyperlink" Id="rId49" Target="https://scholarworks.wmich.edu/math_pubs/42/" TargetMode="External" /><Relationship Type="http://schemas.openxmlformats.org/officeDocument/2006/relationships/hyperlink" Id="rId67" Target="https://swh.princeton.edu/~bmalkiel/Book%20Review%2C%20A%20Man%20for%20All%20Markets.pdf" TargetMode="External" /><Relationship Type="http://schemas.openxmlformats.org/officeDocument/2006/relationships/hyperlink" Id="rId50" Target="https://users.ssc.wisc.edu/~behansen/718/White2000.pdf" TargetMode="External" /><Relationship Type="http://schemas.openxmlformats.org/officeDocument/2006/relationships/hyperlink" Id="rId22" Target="https://web.mit.edu/Alo/www/Papers/JPM2004_Pub.pdf" TargetMode="External" /><Relationship Type="http://schemas.openxmlformats.org/officeDocument/2006/relationships/hyperlink" Id="rId57" Target="https://www-stat.wharton.upenn.edu/~steele/Courses/956/Resource/MultipleComparision/RomanoWolf05.pdf" TargetMode="External" /><Relationship Type="http://schemas.openxmlformats.org/officeDocument/2006/relationships/hyperlink" Id="rId82" Target="https://www.aqr.com/-/media/AQR/Documents/Insights/Interviews/AQR-Words-from-the-Wise-Ed-Thorp.pdf" TargetMode="External" /><Relationship Type="http://schemas.openxmlformats.org/officeDocument/2006/relationships/hyperlink" Id="rId73" Target="https://www.aqr.com/-/media/AQR/Documents/Journal-Articles/AQRJPMQuant23FactFictionandFactorInvesting.pdf?sc_lang=en" TargetMode="External" /><Relationship Type="http://schemas.openxmlformats.org/officeDocument/2006/relationships/hyperlink" Id="rId87" Target="https://www.aqr.com/Insights/Perspectives/The-Replication-Crisis-That-Wasnt" TargetMode="External" /><Relationship Type="http://schemas.openxmlformats.org/officeDocument/2006/relationships/hyperlink" Id="rId89" Target="https://www.berkshirehathaway.com/letters/2013ltr.pdf" TargetMode="External" /><Relationship Type="http://schemas.openxmlformats.org/officeDocument/2006/relationships/hyperlink" Id="rId32" Target="https://www.cambridge.org/core/services/aop-cambridge-core/content/view/437C230243B5CCD0174A333D4806F018/S0022109025101610a.pdf/labor_links_comovement_and_predictable_returns.pdf" TargetMode="External" /><Relationship Type="http://schemas.openxmlformats.org/officeDocument/2006/relationships/hyperlink" Id="rId43" Target="https://www.davidhbailey.com/dhbpapers/backtest-prob.pdf" TargetMode="External" /><Relationship Type="http://schemas.openxmlformats.org/officeDocument/2006/relationships/hyperlink" Id="rId60" Target="https://www.davidhbailey.com/dhbpapers/deflated-sharpe.pdf" TargetMode="External" /><Relationship Type="http://schemas.openxmlformats.org/officeDocument/2006/relationships/hyperlink" Id="rId81" Target="https://www.davidhbailey.com/dhbpapers/sharpe-frontier.pdf" TargetMode="External" /><Relationship Type="http://schemas.openxmlformats.org/officeDocument/2006/relationships/hyperlink" Id="rId35" Target="https://www.deloitte.com/us/en/insights/industry/financial-services/alternative-data-for-investors-from-discovery-to-institutionalization.html" TargetMode="External" /><Relationship Type="http://schemas.openxmlformats.org/officeDocument/2006/relationships/hyperlink" Id="rId23" Target="https://www.ft.com/content/ec06fe06-6150-4f39-8175-37b9b61a5520" TargetMode="External" /><Relationship Type="http://schemas.openxmlformats.org/officeDocument/2006/relationships/hyperlink" Id="rId26" Target="https://www.investor.gov/introduction-investing/general-resources/news-alerts/alerts-bulletins/investor-bulletins-69" TargetMode="External" /><Relationship Type="http://schemas.openxmlformats.org/officeDocument/2006/relationships/hyperlink" Id="rId62" Target="https://www.ivo-welch.info/research/journalcopy/2008-rfs.pdf" TargetMode="External" /><Relationship Type="http://schemas.openxmlformats.org/officeDocument/2006/relationships/hyperlink" Id="rId21" Target="https://www.jstor.org/stable/2325486" TargetMode="External" /><Relationship Type="http://schemas.openxmlformats.org/officeDocument/2006/relationships/hyperlink" Id="rId41" Target="https://www.jstor.org/stable/2329555" TargetMode="External" /><Relationship Type="http://schemas.openxmlformats.org/officeDocument/2006/relationships/hyperlink" Id="rId55" Target="https://www.jstor.org/stable/2346101" TargetMode="External" /><Relationship Type="http://schemas.openxmlformats.org/officeDocument/2006/relationships/hyperlink" Id="rId51" Target="https://www.jstor.org/stable/27638834" TargetMode="External" /><Relationship Type="http://schemas.openxmlformats.org/officeDocument/2006/relationships/hyperlink" Id="rId30" Target="https://www.jstor.org/stable/29789771" TargetMode="External" /><Relationship Type="http://schemas.openxmlformats.org/officeDocument/2006/relationships/hyperlink" Id="rId72" Target="https://www.jstor.org/stable/3008764" TargetMode="External" /><Relationship Type="http://schemas.openxmlformats.org/officeDocument/2006/relationships/hyperlink" Id="rId29" Target="https://www.jstor.org/stable/41305167" TargetMode="External" /><Relationship Type="http://schemas.openxmlformats.org/officeDocument/2006/relationships/hyperlink" Id="rId39" Target="https://www.jstor.org/stable/43869094" TargetMode="External" /><Relationship Type="http://schemas.openxmlformats.org/officeDocument/2006/relationships/hyperlink" Id="rId56" Target="https://www.jstor.org/stable/4615733" TargetMode="External" /><Relationship Type="http://schemas.openxmlformats.org/officeDocument/2006/relationships/hyperlink" Id="rId31" Target="https://www.jstor.org/stable/pdfplus/4622297.pdf" TargetMode="External" /><Relationship Type="http://schemas.openxmlformats.org/officeDocument/2006/relationships/hyperlink" Id="rId85" Target="https://www.marketwatch.com/story/jim-simons-was-the-greatest-ray-dalio-others-pay-tribute-to-trading-legend-1109b829" TargetMode="External" /><Relationship Type="http://schemas.openxmlformats.org/officeDocument/2006/relationships/hyperlink" Id="rId28" Target="https://www.mit.edu/~junpan/volume.pdf" TargetMode="External" /><Relationship Type="http://schemas.openxmlformats.org/officeDocument/2006/relationships/hyperlink" Id="rId27" Target="https://www.nber.org/papers/w6913" TargetMode="External" /><Relationship Type="http://schemas.openxmlformats.org/officeDocument/2006/relationships/hyperlink" Id="rId79" Target="https://www.pm-research.com/content/iijpormgmt/49/2/57.full.pdf" TargetMode="External" /><Relationship Type="http://schemas.openxmlformats.org/officeDocument/2006/relationships/hyperlink" Id="rId86" Target="https://www.principles.com/principles/7df5502f-46e5-47d5-8fd7-8fc70843b726" TargetMode="External" /><Relationship Type="http://schemas.openxmlformats.org/officeDocument/2006/relationships/hyperlink" Id="rId40" Target="https://www.sciencedirect.com/science/article/pii/S0304405X19301618" TargetMode="External" /><Relationship Type="http://schemas.openxmlformats.org/officeDocument/2006/relationships/hyperlink" Id="rId47" Target="https://www.sec.gov/reports/rule-144-selling-restricted-control-securities" TargetMode="External" /><Relationship Type="http://schemas.openxmlformats.org/officeDocument/2006/relationships/hyperlink" Id="rId46" Target="https://www.sec.gov/rules-regulations/staff-guidance/division-investment-management-frequently-asked-questions/frequently-asked-questions-about-form-13f" TargetMode="External" /><Relationship Type="http://schemas.openxmlformats.org/officeDocument/2006/relationships/hyperlink" Id="rId63" Target="https://www.wiley.com/en-us/Advances%2Bin%2BFinancial%2BMachine%2BLearning-p-9781119482086" TargetMode="External" /><Relationship Type="http://schemas.openxmlformats.org/officeDocument/2006/relationships/hyperlink" Id="rId36" Target="https://www.wsj.com/video/fast-traders-are-getting-data-from-sec-seconds-early/AA7E083C-7D30-4B2E-AD0E-A2C8C68ABD5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2026-02-14T04:28:37Z</dcterms:created>
  <dcterms:modified xsi:type="dcterms:W3CDTF">2026-02-14T04:28:37Z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