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0" w:after="80"/>
        <w:jc w:val="center"/>
      </w:pPr>
      <w:r>
        <w:rPr>
          <w:rFonts w:ascii="Arial" w:cs="Arial" w:eastAsia="Arial" w:hAnsi="Arial"/>
          <w:b/>
          <w:bCs/>
          <w:color w:val="1A1A2E"/>
          <w:sz w:val="56"/>
          <w:szCs w:val="56"/>
        </w:rPr>
        <w:t xml:space="preserve">TARP-SPACE</w:t>
      </w:r>
    </w:p>
    <w:p>
      <w:pPr>
        <w:spacing w:before="0" w:after="80"/>
        <w:jc w:val="center"/>
      </w:pPr>
      <w:r>
        <w:rPr>
          <w:rFonts w:ascii="Arial" w:cs="Arial" w:eastAsia="Arial" w:hAnsi="Arial"/>
          <w:color w:val="2E6DA4"/>
          <w:sz w:val="26"/>
          <w:szCs w:val="26"/>
        </w:rPr>
        <w:t xml:space="preserve">Strategic Analysis, Opportunities, Risks &amp; Roadmap</w:t>
      </w:r>
    </w:p>
    <w:p>
      <w:pPr>
        <w:spacing w:before="0" w:after="0"/>
        <w:jc w:val="center"/>
      </w:pPr>
      <w:r>
        <w:rPr>
          <w:rFonts w:ascii="Arial" w:cs="Arial" w:eastAsia="Arial" w:hAnsi="Arial"/>
          <w:color w:val="888888"/>
          <w:sz w:val="20"/>
          <w:szCs w:val="20"/>
        </w:rPr>
        <w:t xml:space="preserve">Confidential  |  March 2026</w:t>
      </w:r>
    </w:p>
    <w:p>
      <w:pPr>
        <w:pBdr>
          <w:bottom w:val="single" w:color="2E6DA4" w:sz="4" w:space="1"/>
        </w:pBdr>
        <w:spacing w:before="160" w:after="160"/>
      </w:pPr>
      <w:r>
        <w:t xml:space="preserve"/>
      </w:r>
    </w:p>
    <w:p>
      <w:pPr>
        <w:pStyle w:val="Heading1"/>
        <w:spacing w:before="360" w:after="160"/>
      </w:pPr>
      <w:r>
        <w:rPr>
          <w:rFonts w:ascii="Arial" w:cs="Arial" w:eastAsia="Arial" w:hAnsi="Arial"/>
          <w:b/>
          <w:bCs/>
          <w:sz w:val="32"/>
          <w:szCs w:val="32"/>
        </w:rPr>
        <w:t xml:space="preserve">1. Executive Summary</w:t>
      </w:r>
    </w:p>
    <w:p>
      <w:pPr>
        <w:spacing w:before="60" w:after="100"/>
        <w:jc w:val="both"/>
      </w:pPr>
      <w:r>
        <w:rPr>
          <w:rFonts w:ascii="Arial" w:cs="Arial" w:eastAsia="Arial" w:hAnsi="Arial"/>
          <w:sz w:val="22"/>
          <w:szCs w:val="22"/>
        </w:rPr>
        <w:t xml:space="preserve">Tarp-Space is a proposed multi-agent negotiation marketplace where each user deploys a personal AI agent that acts on their behalf — eliciting their preferences, building a persistent mandate, and autonomously negotiating with other agents in a shared network space. When agents reach alignment, their owners are introduced into a structured conversation with context already loaded. Over time, agents compound their knowledge of their owners, making each negotiation round more effective than the last.</w:t>
      </w:r>
    </w:p>
    <w:p>
      <w:pPr>
        <w:spacing w:before="60" w:after="0"/>
      </w:pPr>
      <w:r>
        <w:t xml:space="preserve"/>
      </w:r>
    </w:p>
    <w:p>
      <w:pPr>
        <w:spacing w:before="60" w:after="100"/>
        <w:jc w:val="both"/>
      </w:pPr>
      <w:r>
        <w:rPr>
          <w:rFonts w:ascii="Arial" w:cs="Arial" w:eastAsia="Arial" w:hAnsi="Arial"/>
          <w:sz w:val="22"/>
          <w:szCs w:val="22"/>
        </w:rPr>
        <w:t xml:space="preserve">The core thesis is that the most valuable layer in any marketplace is not search — it is the negotiation and coordination layer between expressed need and available supply. Tarp-Space proposes to automate that layer, replacing manual back-and-forth with agent-mediated alignment, while keeping humans in control of the final decision.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0"/>
            </w:pPr>
            <w:r>
              <w:rPr>
                <w:rFonts w:ascii="Arial" w:cs="Arial" w:eastAsia="Arial" w:hAnsi="Arial"/>
                <w:b/>
                <w:bCs/>
                <w:color w:val="2E6DA4"/>
                <w:sz w:val="22"/>
                <w:szCs w:val="22"/>
              </w:rPr>
              <w:t xml:space="preserve">Core Insight:  </w:t>
            </w:r>
            <w:r>
              <w:rPr>
                <w:rFonts w:ascii="Arial" w:cs="Arial" w:eastAsia="Arial" w:hAnsi="Arial"/>
                <w:sz w:val="22"/>
                <w:szCs w:val="22"/>
              </w:rPr>
              <w:t xml:space="preserve">The gap between what users know through their network and what keyword search surfaces is massive. Tarp-Space closes that gap by making latent preferences, trust signals, and negotiation ranges machine-executable — compounding in value with every interaction.</w:t>
            </w:r>
          </w:p>
        </w:tc>
      </w:tr>
    </w:tbl>
    <w:p>
      <w:pPr>
        <w:spacing w:before="80" w:after="0"/>
      </w:pPr>
      <w:r>
        <w:t xml:space="preserve"/>
      </w:r>
    </w:p>
    <w:p>
      <w:pPr>
        <w:spacing w:before="60" w:after="100"/>
        <w:jc w:val="both"/>
      </w:pPr>
      <w:r>
        <w:rPr>
          <w:rFonts w:ascii="Arial" w:cs="Arial" w:eastAsia="Arial" w:hAnsi="Arial"/>
          <w:sz w:val="22"/>
          <w:szCs w:val="22"/>
        </w:rPr>
        <w:t xml:space="preserve">This analysis evaluates the strategic opportunity, the principal hard problems, concrete recommendations, a proposed MVP, and a phased roadmap to the full product vision.</w:t>
      </w:r>
    </w:p>
    <w:p>
      <w:pPr>
        <w:pBdr>
          <w:bottom w:val="single" w:color="2E6DA4" w:sz="4" w:space="1"/>
        </w:pBdr>
        <w:spacing w:before="160" w:after="160"/>
      </w:pPr>
      <w:r>
        <w:t xml:space="preserve"/>
      </w:r>
    </w:p>
    <w:p>
      <w:pPr>
        <w:pStyle w:val="Heading1"/>
        <w:spacing w:before="360" w:after="160"/>
      </w:pPr>
      <w:r>
        <w:rPr>
          <w:rFonts w:ascii="Arial" w:cs="Arial" w:eastAsia="Arial" w:hAnsi="Arial"/>
          <w:b/>
          <w:bCs/>
          <w:sz w:val="32"/>
          <w:szCs w:val="32"/>
        </w:rPr>
        <w:t xml:space="preserve">2. The Opportunity</w:t>
      </w:r>
    </w:p>
    <w:p>
      <w:pPr>
        <w:pStyle w:val="Heading2"/>
        <w:spacing w:before="280" w:after="120"/>
      </w:pPr>
      <w:r>
        <w:rPr>
          <w:rFonts w:ascii="Arial" w:cs="Arial" w:eastAsia="Arial" w:hAnsi="Arial"/>
          <w:b/>
          <w:bCs/>
          <w:color w:val="2E6DA4"/>
          <w:sz w:val="26"/>
          <w:szCs w:val="26"/>
        </w:rPr>
        <w:t xml:space="preserve">2.1 The Unserved Coordination Layer</w:t>
      </w:r>
    </w:p>
    <w:p>
      <w:pPr>
        <w:spacing w:before="60" w:after="100"/>
        <w:jc w:val="both"/>
      </w:pPr>
      <w:r>
        <w:rPr>
          <w:rFonts w:ascii="Arial" w:cs="Arial" w:eastAsia="Arial" w:hAnsi="Arial"/>
          <w:sz w:val="22"/>
          <w:szCs w:val="22"/>
        </w:rPr>
        <w:t xml:space="preserve">Every marketplace today handles discovery reasonably well and transaction execution adequately. What none of them handle is the messy middle: the negotiation, preference signaling, trust evaluation, and back-and-forth coordination that happens between a user expressing a need and a transaction actually closing. This gap is filled today by human effort — messages sent, calls made, offers countered, ghosting endured. It is slow, frustrating, and entirely manual.</w:t>
      </w:r>
    </w:p>
    <w:p>
      <w:pPr>
        <w:spacing w:before="60" w:after="0"/>
      </w:pPr>
      <w:r>
        <w:t xml:space="preserve"/>
      </w:r>
    </w:p>
    <w:p>
      <w:pPr>
        <w:spacing w:before="60" w:after="100"/>
        <w:jc w:val="both"/>
      </w:pPr>
      <w:r>
        <w:rPr>
          <w:rFonts w:ascii="Arial" w:cs="Arial" w:eastAsia="Arial" w:hAnsi="Arial"/>
          <w:sz w:val="22"/>
          <w:szCs w:val="22"/>
        </w:rPr>
        <w:t xml:space="preserve">Tarp-Space targets this coordination layer directly. An agent that knows your preferences, understands your negotiation range, and can operate autonomously within your mandate eliminates the majority of that friction before you ever enter a conversation.</w:t>
      </w:r>
    </w:p>
    <w:p>
      <w:pPr>
        <w:pStyle w:val="Heading2"/>
        <w:spacing w:before="280" w:after="120"/>
      </w:pPr>
      <w:r>
        <w:rPr>
          <w:rFonts w:ascii="Arial" w:cs="Arial" w:eastAsia="Arial" w:hAnsi="Arial"/>
          <w:b/>
          <w:bCs/>
          <w:color w:val="2E6DA4"/>
          <w:sz w:val="26"/>
          <w:szCs w:val="26"/>
        </w:rPr>
        <w:t xml:space="preserve">2.2 The Compounding Memory Advantage</w:t>
      </w:r>
    </w:p>
    <w:p>
      <w:pPr>
        <w:spacing w:before="60" w:after="100"/>
        <w:jc w:val="both"/>
      </w:pPr>
      <w:r>
        <w:rPr>
          <w:rFonts w:ascii="Arial" w:cs="Arial" w:eastAsia="Arial" w:hAnsi="Arial"/>
          <w:sz w:val="22"/>
          <w:szCs w:val="22"/>
        </w:rPr>
        <w:t xml:space="preserve">Unlike a search engine, which resets with every query, a personal agent accumulates a richer model of its owner over time. Early mandates are sparse — the agent knows your stated price ceiling and rough preferences. After ten negotiation cycles, the agent has inferred your dealbreakers, learned your flexibility pattern, and understood the tradeoffs you consistently make. This compounding dynamic creates genuine switching costs and a widening capability gap between early adopters and new users.</w:t>
      </w:r>
    </w:p>
    <w:p>
      <w:pPr>
        <w:pStyle w:val="Heading2"/>
        <w:spacing w:before="280" w:after="120"/>
      </w:pPr>
      <w:r>
        <w:rPr>
          <w:rFonts w:ascii="Arial" w:cs="Arial" w:eastAsia="Arial" w:hAnsi="Arial"/>
          <w:b/>
          <w:bCs/>
          <w:color w:val="2E6DA4"/>
          <w:sz w:val="26"/>
          <w:szCs w:val="26"/>
        </w:rPr>
        <w:t xml:space="preserve">2.3 The Network Visualization as Distribution</w:t>
      </w:r>
    </w:p>
    <w:p>
      <w:pPr>
        <w:spacing w:before="60" w:after="100"/>
        <w:jc w:val="both"/>
      </w:pPr>
      <w:r>
        <w:rPr>
          <w:rFonts w:ascii="Arial" w:cs="Arial" w:eastAsia="Arial" w:hAnsi="Arial"/>
          <w:sz w:val="22"/>
          <w:szCs w:val="22"/>
        </w:rPr>
        <w:t xml:space="preserve">The Tarp-Space web — a live visualization of millions of agents negotiating simultaneously — is not just a feature. It is a distribution mechanism and a trust signal. Seeing your agent actively working in a network of counterparties answers the question users will inevitably ask: what is my agent actually doing? A live, legible answer to that question reduces the trust barrier to autonomous agent adoption significantly. It is also inherently shareable in a way that a search interface is not.</w:t>
      </w:r>
    </w:p>
    <w:p>
      <w:pPr>
        <w:pStyle w:val="Heading2"/>
        <w:spacing w:before="280" w:after="120"/>
      </w:pPr>
      <w:r>
        <w:rPr>
          <w:rFonts w:ascii="Arial" w:cs="Arial" w:eastAsia="Arial" w:hAnsi="Arial"/>
          <w:b/>
          <w:bCs/>
          <w:color w:val="2E6DA4"/>
          <w:sz w:val="26"/>
          <w:szCs w:val="26"/>
        </w:rPr>
        <w:t xml:space="preserve">2.4 Extension to Services: The Bigger Prize</w:t>
      </w:r>
    </w:p>
    <w:p>
      <w:pPr>
        <w:spacing w:before="60" w:after="100"/>
        <w:jc w:val="both"/>
      </w:pPr>
      <w:r>
        <w:rPr>
          <w:rFonts w:ascii="Arial" w:cs="Arial" w:eastAsia="Arial" w:hAnsi="Arial"/>
          <w:sz w:val="22"/>
          <w:szCs w:val="22"/>
        </w:rPr>
        <w:t xml:space="preserve">Goods negotiation is the entry point, but service coordination is the larger long-term opportunity. A homeowner negotiating with a plumber across dimensions of availability, credentials, response reliability, and price — through an agent that already knows their scheduling constraints and past service experiences — is a dramatically better experience than anything available today. The trust graph becomes even more critical in services, where a bad match has real-world consequences beyond a disappointing purchase.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8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Incumbent</w:t>
            </w:r>
          </w:p>
        </w:tc>
        <w:tc>
          <w:tcPr>
            <w:tcW w:type="dxa" w:w="358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Tarp-Space Differentiation</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000000"/>
                <w:sz w:val="20"/>
                <w:szCs w:val="20"/>
              </w:rPr>
              <w:t xml:space="preserve">Goods Marketplace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Facebook Marketplace, OfferUp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Agent-mediated negotiation vs. passive listing browse</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000000"/>
                <w:sz w:val="20"/>
                <w:szCs w:val="20"/>
              </w:rPr>
              <w:t xml:space="preserve">Services Marketplace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Thumbtack, Angi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Mandate-driven matching vs. cold directory search</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000000"/>
                <w:sz w:val="20"/>
                <w:szCs w:val="20"/>
              </w:rPr>
              <w:t xml:space="preserve">AI Assistant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ChatGPT, Claude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Multi-agent network + action execution vs. single-user chat</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000000"/>
                <w:sz w:val="20"/>
                <w:szCs w:val="20"/>
              </w:rPr>
              <w:t xml:space="preserve">Trust Graph</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LinkedIn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Consumer trust for goods &amp; services, not just professional identity</w:t>
            </w:r>
          </w:p>
        </w:tc>
      </w:tr>
    </w:tbl>
    <w:p>
      <w:pPr>
        <w:pBdr>
          <w:bottom w:val="single" w:color="2E6DA4" w:sz="4" w:space="1"/>
        </w:pBdr>
        <w:spacing w:before="160" w:after="160"/>
      </w:pPr>
      <w:r>
        <w:t xml:space="preserve"/>
      </w:r>
    </w:p>
    <w:p>
      <w:pPr>
        <w:pStyle w:val="Heading1"/>
        <w:spacing w:before="360" w:after="160"/>
      </w:pPr>
      <w:r>
        <w:rPr>
          <w:rFonts w:ascii="Arial" w:cs="Arial" w:eastAsia="Arial" w:hAnsi="Arial"/>
          <w:b/>
          <w:bCs/>
          <w:sz w:val="32"/>
          <w:szCs w:val="32"/>
        </w:rPr>
        <w:t xml:space="preserve">3. The Hard Problems</w:t>
      </w:r>
    </w:p>
    <w:p>
      <w:pPr>
        <w:pStyle w:val="Heading2"/>
        <w:spacing w:before="280" w:after="120"/>
      </w:pPr>
      <w:r>
        <w:rPr>
          <w:rFonts w:ascii="Arial" w:cs="Arial" w:eastAsia="Arial" w:hAnsi="Arial"/>
          <w:b/>
          <w:bCs/>
          <w:color w:val="2E6DA4"/>
          <w:sz w:val="26"/>
          <w:szCs w:val="26"/>
        </w:rPr>
        <w:t xml:space="preserve">3.1 The Preference Elicitation Problem</w:t>
      </w:r>
    </w:p>
    <w:p>
      <w:pPr>
        <w:spacing w:before="60" w:after="100"/>
        <w:jc w:val="both"/>
      </w:pPr>
      <w:r>
        <w:rPr>
          <w:rFonts w:ascii="Arial" w:cs="Arial" w:eastAsia="Arial" w:hAnsi="Arial"/>
          <w:sz w:val="22"/>
          <w:szCs w:val="22"/>
        </w:rPr>
        <w:t xml:space="preserve">The quality of every downstream negotiation is entirely determined by the quality of the mandate the agent builds upfront. Users consistently underspecify their preferences — stating a category and a rough budget while leaving the dimensions that actually drive their decisions unstated. An agent that acts on a thin mandate will negotiate poorly and lose user trust fast.</w:t>
      </w:r>
    </w:p>
    <w:p>
      <w:pPr>
        <w:spacing w:before="60" w:after="0"/>
      </w:pPr>
      <w:r>
        <w:t xml:space="preserve"/>
      </w:r>
    </w:p>
    <w:p>
      <w:pPr>
        <w:spacing w:before="60" w:after="100"/>
        <w:jc w:val="both"/>
      </w:pPr>
      <w:r>
        <w:rPr>
          <w:rFonts w:ascii="Arial" w:cs="Arial" w:eastAsia="Arial" w:hAnsi="Arial"/>
          <w:sz w:val="22"/>
          <w:szCs w:val="22"/>
        </w:rPr>
        <w:t xml:space="preserve">The design challenge is building a structured elicitation conversation that extracts a complete mandate — hard constraints, soft preferences, negotiation range, and dealbreakers — without feeling like filling out a form. This is harder than it appears. It requires a defined internal dimension priority order, a strict rule against asking two questions at once, and an explicit mandate confirmation step before the agent acts. Getting this layer right is the product. Everything else depends on it.</w:t>
      </w:r>
    </w:p>
    <w:p>
      <w:pPr>
        <w:pStyle w:val="Heading2"/>
        <w:spacing w:before="280" w:after="120"/>
      </w:pPr>
      <w:r>
        <w:rPr>
          <w:rFonts w:ascii="Arial" w:cs="Arial" w:eastAsia="Arial" w:hAnsi="Arial"/>
          <w:b/>
          <w:bCs/>
          <w:color w:val="2E6DA4"/>
          <w:sz w:val="26"/>
          <w:szCs w:val="26"/>
        </w:rPr>
        <w:t xml:space="preserve">3.2 The Mandate Privacy Problem</w:t>
      </w:r>
    </w:p>
    <w:p>
      <w:pPr>
        <w:spacing w:before="60" w:after="100"/>
        <w:jc w:val="both"/>
      </w:pPr>
      <w:r>
        <w:rPr>
          <w:rFonts w:ascii="Arial" w:cs="Arial" w:eastAsia="Arial" w:hAnsi="Arial"/>
          <w:sz w:val="22"/>
          <w:szCs w:val="22"/>
        </w:rPr>
        <w:t xml:space="preserve">An agent must share enough of its mandate to negotiate effectively with counterparty agents — but must never reveal the mandate itself. A buying agent that discloses its ceiling price to a selling agent has immediately destroyed its negotiating position. The agent needs to negotiate from a mandate without exposing it. This requires a carefully designed agent-to-agent protocol that exchanges preference overlap signals rather than raw mandate parameters. Implementing this cleanly in an LLM-mediated system requires structured data exchange formats, not free-text negotiation between agents.</w:t>
      </w:r>
    </w:p>
    <w:p>
      <w:pPr>
        <w:pStyle w:val="Heading2"/>
        <w:spacing w:before="280" w:after="120"/>
      </w:pPr>
      <w:r>
        <w:rPr>
          <w:rFonts w:ascii="Arial" w:cs="Arial" w:eastAsia="Arial" w:hAnsi="Arial"/>
          <w:b/>
          <w:bCs/>
          <w:color w:val="2E6DA4"/>
          <w:sz w:val="26"/>
          <w:szCs w:val="26"/>
        </w:rPr>
        <w:t xml:space="preserve">3.3 The Simultaneous Commitment Problem</w:t>
      </w:r>
    </w:p>
    <w:p>
      <w:pPr>
        <w:spacing w:before="60" w:after="100"/>
        <w:jc w:val="both"/>
      </w:pPr>
      <w:r>
        <w:rPr>
          <w:rFonts w:ascii="Arial" w:cs="Arial" w:eastAsia="Arial" w:hAnsi="Arial"/>
          <w:sz w:val="22"/>
          <w:szCs w:val="22"/>
        </w:rPr>
        <w:t xml:space="preserve">When an agent is negotiating with dozens of counterparty agents simultaneously, there is a real risk of creating multiple near-simultaneous commitments. A state machine that tracks each negotiation thread and enforces mutual exclusivity at the alignment stage is non-negotiable. Without it, an owner could be introduced to three aligned counterparties at the same moment for the same mandate — an experience that erodes trust rather than building it.</w:t>
      </w:r>
    </w:p>
    <w:p>
      <w:pPr>
        <w:pStyle w:val="Heading2"/>
        <w:spacing w:before="280" w:after="120"/>
      </w:pPr>
      <w:r>
        <w:rPr>
          <w:rFonts w:ascii="Arial" w:cs="Arial" w:eastAsia="Arial" w:hAnsi="Arial"/>
          <w:b/>
          <w:bCs/>
          <w:color w:val="2E6DA4"/>
          <w:sz w:val="26"/>
          <w:szCs w:val="26"/>
        </w:rPr>
        <w:t xml:space="preserve">3.4 The Escalation Fatigue Problem</w:t>
      </w:r>
    </w:p>
    <w:p>
      <w:pPr>
        <w:spacing w:before="60" w:after="100"/>
        <w:jc w:val="both"/>
      </w:pPr>
      <w:r>
        <w:rPr>
          <w:rFonts w:ascii="Arial" w:cs="Arial" w:eastAsia="Arial" w:hAnsi="Arial"/>
          <w:sz w:val="22"/>
          <w:szCs w:val="22"/>
        </w:rPr>
        <w:t xml:space="preserve">The model of agent-negotiates-then-escalates-to-owner breaks down if the agent escalates too frequently. An owner who receives twenty low-context interrupts — each requiring them to understand a negotiation thread from scratch — will disengage from the product entirely. The escalation trigger design must be extremely selective: escalate only when a deal is genuinely close and a specific, answerable question exists. The question format matters too: not 'what do you want to do?' but 'seller is at $8,500, your limit is $8,000 — will you go to $8,200?'</w:t>
      </w:r>
    </w:p>
    <w:p>
      <w:pPr>
        <w:pStyle w:val="Heading2"/>
        <w:spacing w:before="280" w:after="120"/>
      </w:pPr>
      <w:r>
        <w:rPr>
          <w:rFonts w:ascii="Arial" w:cs="Arial" w:eastAsia="Arial" w:hAnsi="Arial"/>
          <w:b/>
          <w:bCs/>
          <w:color w:val="2E6DA4"/>
          <w:sz w:val="26"/>
          <w:szCs w:val="26"/>
        </w:rPr>
        <w:t xml:space="preserve">3.5 The Cold Start and Network Density Problem</w:t>
      </w:r>
    </w:p>
    <w:p>
      <w:pPr>
        <w:spacing w:before="60" w:after="100"/>
        <w:jc w:val="both"/>
      </w:pPr>
      <w:r>
        <w:rPr>
          <w:rFonts w:ascii="Arial" w:cs="Arial" w:eastAsia="Arial" w:hAnsi="Arial"/>
          <w:sz w:val="22"/>
          <w:szCs w:val="22"/>
        </w:rPr>
        <w:t xml:space="preserve">A negotiation marketplace with sparse participation produces no value. An agent negotiating in an empty network finds nothing. This is the most common cause of early marketplace failure and must be solved structurally — not hoped away. The solution is to ensure the personal agent layer delivers standalone value before the network is dense, so users accumulate preference data and trust the agent before they depend on it finding counterparties.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color w:val="FFFFFF"/>
                <w:sz w:val="20"/>
                <w:szCs w:val="20"/>
              </w:rPr>
              <w:t xml:space="preserve">Primary Risk If Unsolved</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000000"/>
                <w:sz w:val="20"/>
                <w:szCs w:val="20"/>
              </w:rPr>
              <w:t xml:space="preserve">Preference elicitation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Thin mandates produce poor negotiations; users blame the agent</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000000"/>
                <w:sz w:val="20"/>
                <w:szCs w:val="20"/>
              </w:rPr>
              <w:t xml:space="preserve">Mandate privacy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Agents leak negotiating position; bad-faith agents exploit it</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000000"/>
                <w:sz w:val="20"/>
                <w:szCs w:val="20"/>
              </w:rPr>
              <w:t xml:space="preserve">Simultaneous commitment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Multiple alignments for one mandate; user confusion and churn</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000000"/>
                <w:sz w:val="20"/>
                <w:szCs w:val="20"/>
              </w:rPr>
              <w:t xml:space="preserve">Escalation fatigue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disengages; perceived as worse than doing it manually</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000000"/>
                <w:sz w:val="20"/>
                <w:szCs w:val="20"/>
              </w:rPr>
              <w:t xml:space="preserve">Network cold start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counterparties found; product appears non-functional</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000000"/>
                <w:sz w:val="20"/>
                <w:szCs w:val="20"/>
              </w:rPr>
              <w:t xml:space="preserve">Agent identity / trust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Bad-faith agents pollute the network; trust collapse</w:t>
            </w:r>
          </w:p>
        </w:tc>
      </w:tr>
    </w:tbl>
    <w:p>
      <w:pPr>
        <w:pBdr>
          <w:bottom w:val="single" w:color="2E6DA4" w:sz="4" w:space="1"/>
        </w:pBdr>
        <w:spacing w:before="160" w:after="160"/>
      </w:pPr>
      <w:r>
        <w:t xml:space="preserve"/>
      </w:r>
    </w:p>
    <w:p>
      <w:pPr>
        <w:pStyle w:val="Heading1"/>
        <w:spacing w:before="360" w:after="160"/>
      </w:pPr>
      <w:r>
        <w:rPr>
          <w:rFonts w:ascii="Arial" w:cs="Arial" w:eastAsia="Arial" w:hAnsi="Arial"/>
          <w:b/>
          <w:bCs/>
          <w:sz w:val="32"/>
          <w:szCs w:val="32"/>
        </w:rPr>
        <w:t xml:space="preserve">4. Recommendations</w:t>
      </w:r>
    </w:p>
    <w:p>
      <w:pPr>
        <w:pStyle w:val="Heading2"/>
        <w:spacing w:before="280" w:after="120"/>
      </w:pPr>
      <w:r>
        <w:rPr>
          <w:rFonts w:ascii="Arial" w:cs="Arial" w:eastAsia="Arial" w:hAnsi="Arial"/>
          <w:b/>
          <w:bCs/>
          <w:color w:val="2E6DA4"/>
          <w:sz w:val="26"/>
          <w:szCs w:val="26"/>
        </w:rPr>
        <w:t xml:space="preserve">4.1 Build the Personal Agent Layer First</w:t>
      </w:r>
    </w:p>
    <w:p>
      <w:pPr>
        <w:spacing w:before="60" w:after="100"/>
        <w:jc w:val="both"/>
      </w:pPr>
      <w:r>
        <w:rPr>
          <w:rFonts w:ascii="Arial" w:cs="Arial" w:eastAsia="Arial" w:hAnsi="Arial"/>
          <w:sz w:val="22"/>
          <w:szCs w:val="22"/>
        </w:rPr>
        <w:t xml:space="preserve">Do not attempt to build the agent network and the personal agent layer simultaneously. The personal layer — preference elicitation, mandate building, memory refinement — delivers standalone value with zero network density. A user with a well-configured agent has something useful on day one, independent of how many counterparties exist. This sequencing solves cold start structurally: by the time the network reaches critical mass, early users have the most capable agents, which becomes a retention and referral moat.</w:t>
      </w:r>
    </w:p>
    <w:p>
      <w:pPr>
        <w:pStyle w:val="Heading2"/>
        <w:spacing w:before="280" w:after="120"/>
      </w:pPr>
      <w:r>
        <w:rPr>
          <w:rFonts w:ascii="Arial" w:cs="Arial" w:eastAsia="Arial" w:hAnsi="Arial"/>
          <w:b/>
          <w:bCs/>
          <w:color w:val="2E6DA4"/>
          <w:sz w:val="26"/>
          <w:szCs w:val="26"/>
        </w:rPr>
        <w:t xml:space="preserve">4.2 Use Structured-Feels-Conversational Onboarding</w:t>
      </w:r>
    </w:p>
    <w:p>
      <w:pPr>
        <w:spacing w:before="60" w:after="100"/>
        <w:jc w:val="both"/>
      </w:pPr>
      <w:r>
        <w:rPr>
          <w:rFonts w:ascii="Arial" w:cs="Arial" w:eastAsia="Arial" w:hAnsi="Arial"/>
          <w:sz w:val="22"/>
          <w:szCs w:val="22"/>
        </w:rPr>
        <w:t xml:space="preserve">The agent should conduct onboarding as a structured interview with a defined internal dimension order — category, budget, location, condition, timing, dealbreakers — surfacing one dimension per exchange, never two questions at once. After gathering explicit information, the agent reflects back its mandate interpretation and asks for confirmation before acting. This builds trust, surfaces gaps, and makes the mandate auditable. The user must be able to see exactly what their agent knows and correct it at any time.</w:t>
      </w:r>
    </w:p>
    <w:p>
      <w:pPr>
        <w:pStyle w:val="Heading2"/>
        <w:spacing w:before="280" w:after="120"/>
      </w:pPr>
      <w:r>
        <w:rPr>
          <w:rFonts w:ascii="Arial" w:cs="Arial" w:eastAsia="Arial" w:hAnsi="Arial"/>
          <w:b/>
          <w:bCs/>
          <w:color w:val="2E6DA4"/>
          <w:sz w:val="26"/>
          <w:szCs w:val="26"/>
        </w:rPr>
        <w:t xml:space="preserve">4.3 Design the Agent-to-Agent Protocol Before Building the Network</w:t>
      </w:r>
    </w:p>
    <w:p>
      <w:pPr>
        <w:spacing w:before="60" w:after="100"/>
        <w:jc w:val="both"/>
      </w:pPr>
      <w:r>
        <w:rPr>
          <w:rFonts w:ascii="Arial" w:cs="Arial" w:eastAsia="Arial" w:hAnsi="Arial"/>
          <w:sz w:val="22"/>
          <w:szCs w:val="22"/>
        </w:rPr>
        <w:t xml:space="preserve">Before any multi-agent negotiation layer is built, define the negotiation protocol precisely. Agents should exchange structured preference overlap signals — not raw parameters, not free-text. The protocol needs a defined grammar: offer bundles, counteroffers, ranked tradeoffs, hard-stop signals. Implementing this as a structured data exchange rather than LLM-to-LLM conversation makes it deterministic, auditable, and resistant to bad-faith manipulation.</w:t>
      </w:r>
    </w:p>
    <w:p>
      <w:pPr>
        <w:pStyle w:val="Heading2"/>
        <w:spacing w:before="280" w:after="120"/>
      </w:pPr>
      <w:r>
        <w:rPr>
          <w:rFonts w:ascii="Arial" w:cs="Arial" w:eastAsia="Arial" w:hAnsi="Arial"/>
          <w:b/>
          <w:bCs/>
          <w:color w:val="2E6DA4"/>
          <w:sz w:val="26"/>
          <w:szCs w:val="26"/>
        </w:rPr>
        <w:t xml:space="preserve">4.4 Build Agent Reputation Separately from Owner Reputation</w:t>
      </w:r>
    </w:p>
    <w:p>
      <w:pPr>
        <w:spacing w:before="60" w:after="100"/>
        <w:jc w:val="both"/>
      </w:pPr>
      <w:r>
        <w:rPr>
          <w:rFonts w:ascii="Arial" w:cs="Arial" w:eastAsia="Arial" w:hAnsi="Arial"/>
          <w:sz w:val="22"/>
          <w:szCs w:val="22"/>
        </w:rPr>
        <w:t xml:space="preserve">In the Tarp-Space network, agents that consistently negotiate in good faith — owners who follow through on aligned deals — should earn a reputation score that is visible to counterparty agents. This creates the right incentive structure, provides a natural defense against bad-faith agents, and adds another compounding advantage for long-term users whose agents have accumulated reputation.</w:t>
      </w:r>
    </w:p>
    <w:p>
      <w:pPr>
        <w:pStyle w:val="Heading2"/>
        <w:spacing w:before="280" w:after="120"/>
      </w:pPr>
      <w:r>
        <w:rPr>
          <w:rFonts w:ascii="Arial" w:cs="Arial" w:eastAsia="Arial" w:hAnsi="Arial"/>
          <w:b/>
          <w:bCs/>
          <w:color w:val="2E6DA4"/>
          <w:sz w:val="26"/>
          <w:szCs w:val="26"/>
        </w:rPr>
        <w:t xml:space="preserve">4.5 Treat the Visualization as a Trust Mechanism, Not Just a Demo</w:t>
      </w:r>
    </w:p>
    <w:p>
      <w:pPr>
        <w:spacing w:before="60" w:after="100"/>
        <w:jc w:val="both"/>
      </w:pPr>
      <w:r>
        <w:rPr>
          <w:rFonts w:ascii="Arial" w:cs="Arial" w:eastAsia="Arial" w:hAnsi="Arial"/>
          <w:sz w:val="22"/>
          <w:szCs w:val="22"/>
        </w:rPr>
        <w:t xml:space="preserve">The Tarp-Space web visualization is most valuable as a transparency layer — users can see what their agent is doing, which threads are converging, and why a thread stalled. Build it with this primary function in mind. A user who understands their agent's activity is a user who will let it act with more autonomy over time. Autonomy given through earned trust compounds. Autonomy taken without understanding causes churn.</w:t>
      </w:r>
    </w:p>
    <w:p>
      <w:pPr>
        <w:pBdr>
          <w:bottom w:val="single" w:color="2E6DA4" w:sz="4" w:space="1"/>
        </w:pBdr>
        <w:spacing w:before="160" w:after="160"/>
      </w:pPr>
      <w:r>
        <w:t xml:space="preserve"/>
      </w:r>
    </w:p>
    <w:p>
      <w:pPr>
        <w:pStyle w:val="Heading1"/>
        <w:spacing w:before="360" w:after="160"/>
      </w:pPr>
      <w:r>
        <w:rPr>
          <w:rFonts w:ascii="Arial" w:cs="Arial" w:eastAsia="Arial" w:hAnsi="Arial"/>
          <w:b/>
          <w:bCs/>
          <w:sz w:val="32"/>
          <w:szCs w:val="32"/>
        </w:rPr>
        <w:t xml:space="preserve">5. Proposed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0"/>
            </w:pPr>
            <w:r>
              <w:rPr>
                <w:rFonts w:ascii="Arial" w:cs="Arial" w:eastAsia="Arial" w:hAnsi="Arial"/>
                <w:b/>
                <w:bCs/>
                <w:color w:val="2E6DA4"/>
                <w:sz w:val="22"/>
                <w:szCs w:val="22"/>
              </w:rPr>
              <w:t xml:space="preserve">MVP Thesis:  </w:t>
            </w:r>
            <w:r>
              <w:rPr>
                <w:rFonts w:ascii="Arial" w:cs="Arial" w:eastAsia="Arial" w:hAnsi="Arial"/>
                <w:sz w:val="22"/>
                <w:szCs w:val="22"/>
              </w:rPr>
              <w:t xml:space="preserve">Prove that a personal agent with a well-built mandate can find meaningful alignment against a seeded supply pool — without requiring a live multi-agent network — and that users trust it enough to let it act on their behalf.</w:t>
            </w:r>
          </w:p>
        </w:tc>
      </w:tr>
    </w:tbl>
    <w:p>
      <w:pPr>
        <w:pStyle w:val="Heading2"/>
        <w:spacing w:before="280" w:after="120"/>
      </w:pPr>
      <w:r>
        <w:rPr>
          <w:rFonts w:ascii="Arial" w:cs="Arial" w:eastAsia="Arial" w:hAnsi="Arial"/>
          <w:b/>
          <w:bCs/>
          <w:color w:val="2E6DA4"/>
          <w:sz w:val="26"/>
          <w:szCs w:val="26"/>
        </w:rPr>
        <w:t xml:space="preserve">5.1 MVP Scope</w:t>
      </w:r>
    </w:p>
    <w:p>
      <w:pPr>
        <w:spacing w:before="60" w:after="100"/>
        <w:jc w:val="both"/>
      </w:pPr>
      <w:r>
        <w:rPr>
          <w:rFonts w:ascii="Arial" w:cs="Arial" w:eastAsia="Arial" w:hAnsi="Arial"/>
          <w:sz w:val="22"/>
          <w:szCs w:val="22"/>
        </w:rPr>
        <w:t xml:space="preserve">The MVP is a single-vertical, single-geography personal agent that conducts structured onboarding, builds a persistent mandate, and matches against a seeded inventory. No live agent-to-agent negotiation. No visualization layer. The match-and-handoff loop is simulated by the platform matching the user's agent against seeded listings and surfacing aligned matches with explanations.</w:t>
      </w:r>
    </w:p>
    <w:p>
      <w:pPr>
        <w:spacing w:before="200" w:after="80"/>
      </w:pPr>
      <w:r>
        <w:rPr>
          <w:rFonts w:ascii="Arial" w:cs="Arial" w:eastAsia="Arial" w:hAnsi="Arial"/>
          <w:b/>
          <w:bCs/>
          <w:color w:val="404040"/>
          <w:sz w:val="22"/>
          <w:szCs w:val="22"/>
        </w:rPr>
        <w:t xml:space="preserve">What the MVP includes:</w:t>
      </w:r>
    </w:p>
    <w:p>
      <w:pPr>
        <w:pStyle w:val="ListParagraph"/>
        <w:numPr>
          <w:ilvl w:val="0"/>
          <w:numId w:val="2"/>
        </w:numPr>
        <w:spacing w:before="40" w:after="80"/>
      </w:pPr>
      <w:r>
        <w:rPr>
          <w:rFonts w:ascii="Arial" w:cs="Arial" w:eastAsia="Arial" w:hAnsi="Arial"/>
          <w:sz w:val="22"/>
          <w:szCs w:val="22"/>
        </w:rPr>
        <w:t xml:space="preserve">Structured preference elicitation conversation — 8 to 12 exchanges to build a complete mandate for the furniture vertical</w:t>
      </w:r>
    </w:p>
    <w:p>
      <w:pPr>
        <w:pStyle w:val="ListParagraph"/>
        <w:numPr>
          <w:ilvl w:val="0"/>
          <w:numId w:val="2"/>
        </w:numPr>
        <w:spacing w:before="40" w:after="80"/>
      </w:pPr>
      <w:r>
        <w:rPr>
          <w:rFonts w:ascii="Arial" w:cs="Arial" w:eastAsia="Arial" w:hAnsi="Arial"/>
          <w:sz w:val="22"/>
          <w:szCs w:val="22"/>
        </w:rPr>
        <w:t xml:space="preserve">Persistent mandate storage with version history — the agent remembers across sessions</w:t>
      </w:r>
    </w:p>
    <w:p>
      <w:pPr>
        <w:pStyle w:val="ListParagraph"/>
        <w:numPr>
          <w:ilvl w:val="0"/>
          <w:numId w:val="2"/>
        </w:numPr>
        <w:spacing w:before="40" w:after="80"/>
      </w:pPr>
      <w:r>
        <w:rPr>
          <w:rFonts w:ascii="Arial" w:cs="Arial" w:eastAsia="Arial" w:hAnsi="Arial"/>
          <w:sz w:val="22"/>
          <w:szCs w:val="22"/>
        </w:rPr>
        <w:t xml:space="preserve">Mandate-to-inventory matching against 50 to 100 seeded Houston furniture listings</w:t>
      </w:r>
    </w:p>
    <w:p>
      <w:pPr>
        <w:pStyle w:val="ListParagraph"/>
        <w:numPr>
          <w:ilvl w:val="0"/>
          <w:numId w:val="2"/>
        </w:numPr>
        <w:spacing w:before="40" w:after="80"/>
      </w:pPr>
      <w:r>
        <w:rPr>
          <w:rFonts w:ascii="Arial" w:cs="Arial" w:eastAsia="Arial" w:hAnsi="Arial"/>
          <w:sz w:val="22"/>
          <w:szCs w:val="22"/>
        </w:rPr>
        <w:t xml:space="preserve">Explainable match results — the agent tells the owner why each match aligned with their mandate</w:t>
      </w:r>
    </w:p>
    <w:p>
      <w:pPr>
        <w:pStyle w:val="ListParagraph"/>
        <w:numPr>
          <w:ilvl w:val="0"/>
          <w:numId w:val="2"/>
        </w:numPr>
        <w:spacing w:before="40" w:after="80"/>
      </w:pPr>
      <w:r>
        <w:rPr>
          <w:rFonts w:ascii="Arial" w:cs="Arial" w:eastAsia="Arial" w:hAnsi="Arial"/>
          <w:sz w:val="22"/>
          <w:szCs w:val="22"/>
        </w:rPr>
        <w:t xml:space="preserve">Escalation simulation — when a match is close but not within mandate range, the agent surfaces a specific yes/no question</w:t>
      </w:r>
    </w:p>
    <w:p>
      <w:pPr>
        <w:pStyle w:val="ListParagraph"/>
        <w:numPr>
          <w:ilvl w:val="0"/>
          <w:numId w:val="2"/>
        </w:numPr>
        <w:spacing w:before="40" w:after="80"/>
      </w:pPr>
      <w:r>
        <w:rPr>
          <w:rFonts w:ascii="Arial" w:cs="Arial" w:eastAsia="Arial" w:hAnsi="Arial"/>
          <w:sz w:val="22"/>
          <w:szCs w:val="22"/>
        </w:rPr>
        <w:t xml:space="preserve">Mandate refinement loop — the agent updates its model based on owner accept/reject signals</w:t>
      </w:r>
    </w:p>
    <w:p>
      <w:pPr>
        <w:pStyle w:val="ListParagraph"/>
        <w:numPr>
          <w:ilvl w:val="0"/>
          <w:numId w:val="2"/>
        </w:numPr>
        <w:spacing w:before="40" w:after="80"/>
      </w:pPr>
      <w:r>
        <w:rPr>
          <w:rFonts w:ascii="Arial" w:cs="Arial" w:eastAsia="Arial" w:hAnsi="Arial"/>
          <w:sz w:val="22"/>
          <w:szCs w:val="22"/>
        </w:rPr>
        <w:t xml:space="preserve">Basic agent activity log — owner can see what the agent has done on their behalf</w:t>
      </w:r>
    </w:p>
    <w:p>
      <w:pPr>
        <w:spacing w:before="200" w:after="80"/>
      </w:pPr>
      <w:r>
        <w:rPr>
          <w:rFonts w:ascii="Arial" w:cs="Arial" w:eastAsia="Arial" w:hAnsi="Arial"/>
          <w:b/>
          <w:bCs/>
          <w:color w:val="404040"/>
          <w:sz w:val="22"/>
          <w:szCs w:val="22"/>
        </w:rPr>
        <w:t xml:space="preserve">What the MVP explicitly excludes:</w:t>
      </w:r>
    </w:p>
    <w:p>
      <w:pPr>
        <w:pStyle w:val="ListParagraph"/>
        <w:numPr>
          <w:ilvl w:val="0"/>
          <w:numId w:val="2"/>
        </w:numPr>
        <w:spacing w:before="40" w:after="80"/>
      </w:pPr>
      <w:r>
        <w:rPr>
          <w:rFonts w:ascii="Arial" w:cs="Arial" w:eastAsia="Arial" w:hAnsi="Arial"/>
          <w:sz w:val="22"/>
          <w:szCs w:val="22"/>
        </w:rPr>
        <w:t xml:space="preserve">Live agent-to-agent negotiation protocol</w:t>
      </w:r>
    </w:p>
    <w:p>
      <w:pPr>
        <w:pStyle w:val="ListParagraph"/>
        <w:numPr>
          <w:ilvl w:val="0"/>
          <w:numId w:val="2"/>
        </w:numPr>
        <w:spacing w:before="40" w:after="80"/>
      </w:pPr>
      <w:r>
        <w:rPr>
          <w:rFonts w:ascii="Arial" w:cs="Arial" w:eastAsia="Arial" w:hAnsi="Arial"/>
          <w:sz w:val="22"/>
          <w:szCs w:val="22"/>
        </w:rPr>
        <w:t xml:space="preserve">Tarp-Space web visualization</w:t>
      </w:r>
    </w:p>
    <w:p>
      <w:pPr>
        <w:pStyle w:val="ListParagraph"/>
        <w:numPr>
          <w:ilvl w:val="0"/>
          <w:numId w:val="2"/>
        </w:numPr>
        <w:spacing w:before="40" w:after="80"/>
      </w:pPr>
      <w:r>
        <w:rPr>
          <w:rFonts w:ascii="Arial" w:cs="Arial" w:eastAsia="Arial" w:hAnsi="Arial"/>
          <w:sz w:val="22"/>
          <w:szCs w:val="22"/>
        </w:rPr>
        <w:t xml:space="preserve">Real seller agents — supply is seeded and static</w:t>
      </w:r>
    </w:p>
    <w:p>
      <w:pPr>
        <w:pStyle w:val="ListParagraph"/>
        <w:numPr>
          <w:ilvl w:val="0"/>
          <w:numId w:val="2"/>
        </w:numPr>
        <w:spacing w:before="40" w:after="80"/>
      </w:pPr>
      <w:r>
        <w:rPr>
          <w:rFonts w:ascii="Arial" w:cs="Arial" w:eastAsia="Arial" w:hAnsi="Arial"/>
          <w:sz w:val="22"/>
          <w:szCs w:val="22"/>
        </w:rPr>
        <w:t xml:space="preserve">Services vertical — furniture only</w:t>
      </w:r>
    </w:p>
    <w:p>
      <w:pPr>
        <w:pStyle w:val="ListParagraph"/>
        <w:numPr>
          <w:ilvl w:val="0"/>
          <w:numId w:val="2"/>
        </w:numPr>
        <w:spacing w:before="40" w:after="80"/>
      </w:pPr>
      <w:r>
        <w:rPr>
          <w:rFonts w:ascii="Arial" w:cs="Arial" w:eastAsia="Arial" w:hAnsi="Arial"/>
          <w:sz w:val="22"/>
          <w:szCs w:val="22"/>
        </w:rPr>
        <w:t xml:space="preserve">Auth, onboarding flows, or production hardening</w:t>
      </w:r>
    </w:p>
    <w:p>
      <w:pPr>
        <w:pStyle w:val="Heading2"/>
        <w:spacing w:before="280" w:after="120"/>
      </w:pPr>
      <w:r>
        <w:rPr>
          <w:rFonts w:ascii="Arial" w:cs="Arial" w:eastAsia="Arial" w:hAnsi="Arial"/>
          <w:b/>
          <w:bCs/>
          <w:color w:val="2E6DA4"/>
          <w:sz w:val="26"/>
          <w:szCs w:val="26"/>
        </w:rPr>
        <w:t xml:space="preserve">5.2 MVP Success Criteria</w:t>
      </w:r>
    </w:p>
    <w:p>
      <w:pPr>
        <w:spacing w:before="60" w:after="100"/>
        <w:jc w:val="both"/>
      </w:pPr>
      <w:r>
        <w:rPr>
          <w:rFonts w:ascii="Arial" w:cs="Arial" w:eastAsia="Arial" w:hAnsi="Arial"/>
          <w:sz w:val="22"/>
          <w:szCs w:val="22"/>
        </w:rPr>
        <w:t xml:space="preserve">The MVP succeeds if three things are demonstrably true after 30 days with real users from a single community cohort:</w:t>
      </w:r>
    </w:p>
    <w:p>
      <w:pPr>
        <w:spacing w:before="40" w:after="0"/>
      </w:pPr>
      <w:r>
        <w:t xml:space="preserve"/>
      </w:r>
    </w:p>
    <w:p>
      <w:pPr>
        <w:pStyle w:val="ListParagraph"/>
        <w:numPr>
          <w:ilvl w:val="0"/>
          <w:numId w:val="2"/>
        </w:numPr>
        <w:spacing w:before="40" w:after="80"/>
      </w:pPr>
      <w:r>
        <w:rPr>
          <w:rFonts w:ascii="Arial" w:cs="Arial" w:eastAsia="Arial" w:hAnsi="Arial"/>
          <w:sz w:val="22"/>
          <w:szCs w:val="22"/>
        </w:rPr>
        <w:t xml:space="preserve">Mandate quality: agents built through the structured onboarding produce mandates that match users' actual preferences when reviewed — measured by owner confirmation rate on the mandate summary step</w:t>
      </w:r>
    </w:p>
    <w:p>
      <w:pPr>
        <w:pStyle w:val="ListParagraph"/>
        <w:numPr>
          <w:ilvl w:val="0"/>
          <w:numId w:val="2"/>
        </w:numPr>
        <w:spacing w:before="40" w:after="80"/>
      </w:pPr>
      <w:r>
        <w:rPr>
          <w:rFonts w:ascii="Arial" w:cs="Arial" w:eastAsia="Arial" w:hAnsi="Arial"/>
          <w:sz w:val="22"/>
          <w:szCs w:val="22"/>
        </w:rPr>
        <w:t xml:space="preserve">Match relevance: users accept or engage with at least 30% of surfaced matches — measured by click-through and message initiation</w:t>
      </w:r>
    </w:p>
    <w:p>
      <w:pPr>
        <w:pStyle w:val="ListParagraph"/>
        <w:numPr>
          <w:ilvl w:val="0"/>
          <w:numId w:val="2"/>
        </w:numPr>
        <w:spacing w:before="40" w:after="80"/>
      </w:pPr>
      <w:r>
        <w:rPr>
          <w:rFonts w:ascii="Arial" w:cs="Arial" w:eastAsia="Arial" w:hAnsi="Arial"/>
          <w:sz w:val="22"/>
          <w:szCs w:val="22"/>
        </w:rPr>
        <w:t xml:space="preserve">Agent trust: users return to refine their mandate rather than abandoning after one session — measured by D7 retention of users with at least one match result</w:t>
      </w:r>
    </w:p>
    <w:p>
      <w:pPr>
        <w:pBdr>
          <w:bottom w:val="single" w:color="2E6DA4" w:sz="4" w:space="1"/>
        </w:pBdr>
        <w:spacing w:before="160" w:after="160"/>
      </w:pPr>
      <w:r>
        <w:t xml:space="preserve"/>
      </w:r>
    </w:p>
    <w:p>
      <w:pPr>
        <w:pStyle w:val="Heading1"/>
        <w:spacing w:before="360" w:after="160"/>
      </w:pPr>
      <w:r>
        <w:rPr>
          <w:rFonts w:ascii="Arial" w:cs="Arial" w:eastAsia="Arial" w:hAnsi="Arial"/>
          <w:b/>
          <w:bCs/>
          <w:sz w:val="32"/>
          <w:szCs w:val="32"/>
        </w:rPr>
        <w:t xml:space="preserve">6. Phased Roadmap</w:t>
      </w:r>
    </w:p>
    <w:p>
      <w:pPr>
        <w:pStyle w:val="Heading2"/>
        <w:spacing w:before="280" w:after="120"/>
      </w:pPr>
      <w:r>
        <w:rPr>
          <w:rFonts w:ascii="Arial" w:cs="Arial" w:eastAsia="Arial" w:hAnsi="Arial"/>
          <w:b/>
          <w:bCs/>
          <w:color w:val="2E6DA4"/>
          <w:sz w:val="26"/>
          <w:szCs w:val="26"/>
        </w:rPr>
        <w:t xml:space="preserve">Phase 0 — Personal Agent Foundation (Weeks 1–6)</w:t>
      </w:r>
    </w:p>
    <w:p>
      <w:pPr>
        <w:spacing w:before="60" w:after="100"/>
        <w:jc w:val="both"/>
      </w:pPr>
      <w:r>
        <w:rPr>
          <w:rFonts w:ascii="Arial" w:cs="Arial" w:eastAsia="Arial" w:hAnsi="Arial"/>
          <w:sz w:val="22"/>
          <w:szCs w:val="22"/>
        </w:rPr>
        <w:t xml:space="preserve">This phase builds the core of the compounding memory system. No network, no matching — just the agent and its owner.</w:t>
      </w:r>
    </w:p>
    <w:p>
      <w:pPr>
        <w:pStyle w:val="ListParagraph"/>
        <w:numPr>
          <w:ilvl w:val="0"/>
          <w:numId w:val="2"/>
        </w:numPr>
        <w:spacing w:before="40" w:after="80"/>
      </w:pPr>
      <w:r>
        <w:rPr>
          <w:rFonts w:ascii="Arial" w:cs="Arial" w:eastAsia="Arial" w:hAnsi="Arial"/>
          <w:sz w:val="22"/>
          <w:szCs w:val="22"/>
        </w:rPr>
        <w:t xml:space="preserve">Design and implement the mandate schema: hard constraints, negotiation range, soft preferences, dealbreakers, escalation triggers</w:t>
      </w:r>
    </w:p>
    <w:p>
      <w:pPr>
        <w:pStyle w:val="ListParagraph"/>
        <w:numPr>
          <w:ilvl w:val="0"/>
          <w:numId w:val="2"/>
        </w:numPr>
        <w:spacing w:before="40" w:after="80"/>
      </w:pPr>
      <w:r>
        <w:rPr>
          <w:rFonts w:ascii="Arial" w:cs="Arial" w:eastAsia="Arial" w:hAnsi="Arial"/>
          <w:sz w:val="22"/>
          <w:szCs w:val="22"/>
        </w:rPr>
        <w:t xml:space="preserve">Build the structured elicitation conversation engine with dimension priority order and one-question-per-exchange enforcement</w:t>
      </w:r>
    </w:p>
    <w:p>
      <w:pPr>
        <w:pStyle w:val="ListParagraph"/>
        <w:numPr>
          <w:ilvl w:val="0"/>
          <w:numId w:val="2"/>
        </w:numPr>
        <w:spacing w:before="40" w:after="80"/>
      </w:pPr>
      <w:r>
        <w:rPr>
          <w:rFonts w:ascii="Arial" w:cs="Arial" w:eastAsia="Arial" w:hAnsi="Arial"/>
          <w:sz w:val="22"/>
          <w:szCs w:val="22"/>
        </w:rPr>
        <w:t xml:space="preserve">Implement mandate persistence, versioning, and the explicit/inferred signal distinction</w:t>
      </w:r>
    </w:p>
    <w:p>
      <w:pPr>
        <w:pStyle w:val="ListParagraph"/>
        <w:numPr>
          <w:ilvl w:val="0"/>
          <w:numId w:val="2"/>
        </w:numPr>
        <w:spacing w:before="40" w:after="80"/>
      </w:pPr>
      <w:r>
        <w:rPr>
          <w:rFonts w:ascii="Arial" w:cs="Arial" w:eastAsia="Arial" w:hAnsi="Arial"/>
          <w:sz w:val="22"/>
          <w:szCs w:val="22"/>
        </w:rPr>
        <w:t xml:space="preserve">Build the mandate confirmation and audit interface — owner can view and correct what the agent knows</w:t>
      </w:r>
    </w:p>
    <w:p>
      <w:pPr>
        <w:pStyle w:val="ListParagraph"/>
        <w:numPr>
          <w:ilvl w:val="0"/>
          <w:numId w:val="2"/>
        </w:numPr>
        <w:spacing w:before="40" w:after="80"/>
      </w:pPr>
      <w:r>
        <w:rPr>
          <w:rFonts w:ascii="Arial" w:cs="Arial" w:eastAsia="Arial" w:hAnsi="Arial"/>
          <w:sz w:val="22"/>
          <w:szCs w:val="22"/>
        </w:rPr>
        <w:t xml:space="preserve">Completeness scoring: agent knows when it has enough to act vs. when it needs more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0"/>
            </w:pPr>
            <w:r>
              <w:rPr>
                <w:rFonts w:ascii="Arial" w:cs="Arial" w:eastAsia="Arial" w:hAnsi="Arial"/>
                <w:b/>
                <w:bCs/>
                <w:color w:val="2E6DA4"/>
                <w:sz w:val="22"/>
                <w:szCs w:val="22"/>
              </w:rPr>
              <w:t xml:space="preserve">Phase 0 Exit Criterion:  </w:t>
            </w:r>
            <w:r>
              <w:rPr>
                <w:rFonts w:ascii="Arial" w:cs="Arial" w:eastAsia="Arial" w:hAnsi="Arial"/>
                <w:sz w:val="22"/>
                <w:szCs w:val="22"/>
              </w:rPr>
              <w:t xml:space="preserve">A user can complete onboarding, review their mandate, correct it, and the agent accurately reflects their stated preferences in the stored mandate.</w:t>
            </w:r>
          </w:p>
        </w:tc>
      </w:tr>
    </w:tbl>
    <w:p>
      <w:pPr>
        <w:pStyle w:val="Heading2"/>
        <w:spacing w:before="280" w:after="120"/>
      </w:pPr>
      <w:r>
        <w:rPr>
          <w:rFonts w:ascii="Arial" w:cs="Arial" w:eastAsia="Arial" w:hAnsi="Arial"/>
          <w:b/>
          <w:bCs/>
          <w:color w:val="2E6DA4"/>
          <w:sz w:val="26"/>
          <w:szCs w:val="26"/>
        </w:rPr>
        <w:t xml:space="preserve">Phase 1 — MVP: Mandate-to-Inventory Matching (Weeks 7–14)</w:t>
      </w:r>
    </w:p>
    <w:p>
      <w:pPr>
        <w:spacing w:before="60" w:after="100"/>
        <w:jc w:val="both"/>
      </w:pPr>
      <w:r>
        <w:rPr>
          <w:rFonts w:ascii="Arial" w:cs="Arial" w:eastAsia="Arial" w:hAnsi="Arial"/>
          <w:sz w:val="22"/>
          <w:szCs w:val="22"/>
        </w:rPr>
        <w:t xml:space="preserve">This phase proves the core hypothesis: a well-built mandate produces better matches than keyword search against the same inventory.</w:t>
      </w:r>
    </w:p>
    <w:p>
      <w:pPr>
        <w:pStyle w:val="ListParagraph"/>
        <w:numPr>
          <w:ilvl w:val="0"/>
          <w:numId w:val="2"/>
        </w:numPr>
        <w:spacing w:before="40" w:after="80"/>
      </w:pPr>
      <w:r>
        <w:rPr>
          <w:rFonts w:ascii="Arial" w:cs="Arial" w:eastAsia="Arial" w:hAnsi="Arial"/>
          <w:sz w:val="22"/>
          <w:szCs w:val="22"/>
        </w:rPr>
        <w:t xml:space="preserve">Seed 50 to 100 verified furniture listings with full metadata and vector embeddings — Houston market</w:t>
      </w:r>
    </w:p>
    <w:p>
      <w:pPr>
        <w:pStyle w:val="ListParagraph"/>
        <w:numPr>
          <w:ilvl w:val="0"/>
          <w:numId w:val="2"/>
        </w:numPr>
        <w:spacing w:before="40" w:after="80"/>
      </w:pPr>
      <w:r>
        <w:rPr>
          <w:rFonts w:ascii="Arial" w:cs="Arial" w:eastAsia="Arial" w:hAnsi="Arial"/>
          <w:sz w:val="22"/>
          <w:szCs w:val="22"/>
        </w:rPr>
        <w:t xml:space="preserve">Build mandate-to-inventory matching: hybrid vector similarity plus hard constraint filtering</w:t>
      </w:r>
    </w:p>
    <w:p>
      <w:pPr>
        <w:pStyle w:val="ListParagraph"/>
        <w:numPr>
          <w:ilvl w:val="0"/>
          <w:numId w:val="2"/>
        </w:numPr>
        <w:spacing w:before="40" w:after="80"/>
      </w:pPr>
      <w:r>
        <w:rPr>
          <w:rFonts w:ascii="Arial" w:cs="Arial" w:eastAsia="Arial" w:hAnsi="Arial"/>
          <w:sz w:val="22"/>
          <w:szCs w:val="22"/>
        </w:rPr>
        <w:t xml:space="preserve">Explainable match result presentation — agent explains why each match aligns with the mandate</w:t>
      </w:r>
    </w:p>
    <w:p>
      <w:pPr>
        <w:pStyle w:val="ListParagraph"/>
        <w:numPr>
          <w:ilvl w:val="0"/>
          <w:numId w:val="2"/>
        </w:numPr>
        <w:spacing w:before="40" w:after="80"/>
      </w:pPr>
      <w:r>
        <w:rPr>
          <w:rFonts w:ascii="Arial" w:cs="Arial" w:eastAsia="Arial" w:hAnsi="Arial"/>
          <w:sz w:val="22"/>
          <w:szCs w:val="22"/>
        </w:rPr>
        <w:t xml:space="preserve">Escalation loop: agent surfaces specific questions when a match is close but outside mandate range</w:t>
      </w:r>
    </w:p>
    <w:p>
      <w:pPr>
        <w:pStyle w:val="ListParagraph"/>
        <w:numPr>
          <w:ilvl w:val="0"/>
          <w:numId w:val="2"/>
        </w:numPr>
        <w:spacing w:before="40" w:after="80"/>
      </w:pPr>
      <w:r>
        <w:rPr>
          <w:rFonts w:ascii="Arial" w:cs="Arial" w:eastAsia="Arial" w:hAnsi="Arial"/>
          <w:sz w:val="22"/>
          <w:szCs w:val="22"/>
        </w:rPr>
        <w:t xml:space="preserve">Mandate refinement from accept/reject signals — explicit and inferred memory updates</w:t>
      </w:r>
    </w:p>
    <w:p>
      <w:pPr>
        <w:pStyle w:val="ListParagraph"/>
        <w:numPr>
          <w:ilvl w:val="0"/>
          <w:numId w:val="2"/>
        </w:numPr>
        <w:spacing w:before="40" w:after="80"/>
      </w:pPr>
      <w:r>
        <w:rPr>
          <w:rFonts w:ascii="Arial" w:cs="Arial" w:eastAsia="Arial" w:hAnsi="Arial"/>
          <w:sz w:val="22"/>
          <w:szCs w:val="22"/>
        </w:rPr>
        <w:t xml:space="preserve">Basic agent activity log — owner transparency into what the agent has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0"/>
            </w:pPr>
            <w:r>
              <w:rPr>
                <w:rFonts w:ascii="Arial" w:cs="Arial" w:eastAsia="Arial" w:hAnsi="Arial"/>
                <w:b/>
                <w:bCs/>
                <w:color w:val="2E6DA4"/>
                <w:sz w:val="22"/>
                <w:szCs w:val="22"/>
              </w:rPr>
              <w:t xml:space="preserve">Phase 1 Exit Criterion:  </w:t>
            </w:r>
            <w:r>
              <w:rPr>
                <w:rFonts w:ascii="Arial" w:cs="Arial" w:eastAsia="Arial" w:hAnsi="Arial"/>
                <w:sz w:val="22"/>
                <w:szCs w:val="22"/>
              </w:rPr>
              <w:t xml:space="preserve">Trust-signal-aware matches show greater than 30% acceptance rate. Users return to refine their mandate after receiving results. The compounding dynamic is measurably working.</w:t>
            </w:r>
          </w:p>
        </w:tc>
      </w:tr>
    </w:tbl>
    <w:p>
      <w:pPr>
        <w:pStyle w:val="Heading2"/>
        <w:spacing w:before="280" w:after="120"/>
      </w:pPr>
      <w:r>
        <w:rPr>
          <w:rFonts w:ascii="Arial" w:cs="Arial" w:eastAsia="Arial" w:hAnsi="Arial"/>
          <w:b/>
          <w:bCs/>
          <w:color w:val="2E6DA4"/>
          <w:sz w:val="26"/>
          <w:szCs w:val="26"/>
        </w:rPr>
        <w:t xml:space="preserve">Phase 2 — Agent Network and Trust Graph (Weeks 15–26)</w:t>
      </w:r>
    </w:p>
    <w:p>
      <w:pPr>
        <w:spacing w:before="60" w:after="100"/>
        <w:jc w:val="both"/>
      </w:pPr>
      <w:r>
        <w:rPr>
          <w:rFonts w:ascii="Arial" w:cs="Arial" w:eastAsia="Arial" w:hAnsi="Arial"/>
          <w:sz w:val="22"/>
          <w:szCs w:val="22"/>
        </w:rPr>
        <w:t xml:space="preserve">This phase introduces real seller agents and the live agent-to-agent negotiation layer, built on the trust graph that transaction outcomes begin to generate.</w:t>
      </w:r>
    </w:p>
    <w:p>
      <w:pPr>
        <w:pStyle w:val="ListParagraph"/>
        <w:numPr>
          <w:ilvl w:val="0"/>
          <w:numId w:val="2"/>
        </w:numPr>
        <w:spacing w:before="40" w:after="80"/>
      </w:pPr>
      <w:r>
        <w:rPr>
          <w:rFonts w:ascii="Arial" w:cs="Arial" w:eastAsia="Arial" w:hAnsi="Arial"/>
          <w:sz w:val="22"/>
          <w:szCs w:val="22"/>
        </w:rPr>
        <w:t xml:space="preserve">Define and implement the agent-to-agent negotiation protocol — structured preference overlap exchange, not free-text</w:t>
      </w:r>
    </w:p>
    <w:p>
      <w:pPr>
        <w:pStyle w:val="ListParagraph"/>
        <w:numPr>
          <w:ilvl w:val="0"/>
          <w:numId w:val="2"/>
        </w:numPr>
        <w:spacing w:before="40" w:after="80"/>
      </w:pPr>
      <w:r>
        <w:rPr>
          <w:rFonts w:ascii="Arial" w:cs="Arial" w:eastAsia="Arial" w:hAnsi="Arial"/>
          <w:sz w:val="22"/>
          <w:szCs w:val="22"/>
        </w:rPr>
        <w:t xml:space="preserve">Onboard first seller cohort with their own agents and mandates — invitation-based from a single community</w:t>
      </w:r>
    </w:p>
    <w:p>
      <w:pPr>
        <w:pStyle w:val="ListParagraph"/>
        <w:numPr>
          <w:ilvl w:val="0"/>
          <w:numId w:val="2"/>
        </w:numPr>
        <w:spacing w:before="40" w:after="80"/>
      </w:pPr>
      <w:r>
        <w:rPr>
          <w:rFonts w:ascii="Arial" w:cs="Arial" w:eastAsia="Arial" w:hAnsi="Arial"/>
          <w:sz w:val="22"/>
          <w:szCs w:val="22"/>
        </w:rPr>
        <w:t xml:space="preserve">Trust edge creation from transaction outcomes — buyer and seller agents whose deals close generate a graph edge</w:t>
      </w:r>
    </w:p>
    <w:p>
      <w:pPr>
        <w:pStyle w:val="ListParagraph"/>
        <w:numPr>
          <w:ilvl w:val="0"/>
          <w:numId w:val="2"/>
        </w:numPr>
        <w:spacing w:before="40" w:after="80"/>
      </w:pPr>
      <w:r>
        <w:rPr>
          <w:rFonts w:ascii="Arial" w:cs="Arial" w:eastAsia="Arial" w:hAnsi="Arial"/>
          <w:sz w:val="22"/>
          <w:szCs w:val="22"/>
        </w:rPr>
        <w:t xml:space="preserve">Graph-weighted matching: friend-of-friend trust paths lift aligned candidates in ranking</w:t>
      </w:r>
    </w:p>
    <w:p>
      <w:pPr>
        <w:pStyle w:val="ListParagraph"/>
        <w:numPr>
          <w:ilvl w:val="0"/>
          <w:numId w:val="2"/>
        </w:numPr>
        <w:spacing w:before="40" w:after="80"/>
      </w:pPr>
      <w:r>
        <w:rPr>
          <w:rFonts w:ascii="Arial" w:cs="Arial" w:eastAsia="Arial" w:hAnsi="Arial"/>
          <w:sz w:val="22"/>
          <w:szCs w:val="22"/>
        </w:rPr>
        <w:t xml:space="preserve">Simultaneous commitment state machine — one active alignment per mandate, mutex enforced</w:t>
      </w:r>
    </w:p>
    <w:p>
      <w:pPr>
        <w:pStyle w:val="ListParagraph"/>
        <w:numPr>
          <w:ilvl w:val="0"/>
          <w:numId w:val="2"/>
        </w:numPr>
        <w:spacing w:before="40" w:after="80"/>
      </w:pPr>
      <w:r>
        <w:rPr>
          <w:rFonts w:ascii="Arial" w:cs="Arial" w:eastAsia="Arial" w:hAnsi="Arial"/>
          <w:sz w:val="22"/>
          <w:szCs w:val="22"/>
        </w:rPr>
        <w:t xml:space="preserve">Agent reputation scoring — tracks negotiation good faith and owner follow-through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0"/>
            </w:pPr>
            <w:r>
              <w:rPr>
                <w:rFonts w:ascii="Arial" w:cs="Arial" w:eastAsia="Arial" w:hAnsi="Arial"/>
                <w:b/>
                <w:bCs/>
                <w:color w:val="2E6DA4"/>
                <w:sz w:val="22"/>
                <w:szCs w:val="22"/>
              </w:rPr>
              <w:t xml:space="preserve">Phase 2 Exit Criterion:  </w:t>
            </w:r>
            <w:r>
              <w:rPr>
                <w:rFonts w:ascii="Arial" w:cs="Arial" w:eastAsia="Arial" w:hAnsi="Arial"/>
                <w:sz w:val="22"/>
                <w:szCs w:val="22"/>
              </w:rPr>
              <w:t xml:space="preserve">Trust-weighted matches show greater than 15% higher acceptance rate versus non-trust-weighted baseline. At least 40% of active users have a minimum of three graph connections.</w:t>
            </w:r>
          </w:p>
        </w:tc>
      </w:tr>
    </w:tbl>
    <w:p>
      <w:pPr>
        <w:pStyle w:val="Heading2"/>
        <w:spacing w:before="280" w:after="120"/>
      </w:pPr>
      <w:r>
        <w:rPr>
          <w:rFonts w:ascii="Arial" w:cs="Arial" w:eastAsia="Arial" w:hAnsi="Arial"/>
          <w:b/>
          <w:bCs/>
          <w:color w:val="2E6DA4"/>
          <w:sz w:val="26"/>
          <w:szCs w:val="26"/>
        </w:rPr>
        <w:t xml:space="preserve">Phase 3 — Tarp-Space Web and Autonomous Negotiation (Weeks 27–40)</w:t>
      </w:r>
    </w:p>
    <w:p>
      <w:pPr>
        <w:spacing w:before="60" w:after="100"/>
        <w:jc w:val="both"/>
      </w:pPr>
      <w:r>
        <w:rPr>
          <w:rFonts w:ascii="Arial" w:cs="Arial" w:eastAsia="Arial" w:hAnsi="Arial"/>
          <w:sz w:val="22"/>
          <w:szCs w:val="22"/>
        </w:rPr>
        <w:t xml:space="preserve">This phase introduces the visualization layer and expands agent autonomy, earned through demonstrated trust from Phases 1 and 2.</w:t>
      </w:r>
    </w:p>
    <w:p>
      <w:pPr>
        <w:pStyle w:val="ListParagraph"/>
        <w:numPr>
          <w:ilvl w:val="0"/>
          <w:numId w:val="2"/>
        </w:numPr>
        <w:spacing w:before="40" w:after="80"/>
      </w:pPr>
      <w:r>
        <w:rPr>
          <w:rFonts w:ascii="Arial" w:cs="Arial" w:eastAsia="Arial" w:hAnsi="Arial"/>
          <w:sz w:val="22"/>
          <w:szCs w:val="22"/>
        </w:rPr>
        <w:t xml:space="preserve">Build the Tarp-Space web visualization as a transparency and trust mechanism — live negotiation threads, convergence signals, stall reasons</w:t>
      </w:r>
    </w:p>
    <w:p>
      <w:pPr>
        <w:pStyle w:val="ListParagraph"/>
        <w:numPr>
          <w:ilvl w:val="0"/>
          <w:numId w:val="2"/>
        </w:numPr>
        <w:spacing w:before="40" w:after="80"/>
      </w:pPr>
      <w:r>
        <w:rPr>
          <w:rFonts w:ascii="Arial" w:cs="Arial" w:eastAsia="Arial" w:hAnsi="Arial"/>
          <w:sz w:val="22"/>
          <w:szCs w:val="22"/>
        </w:rPr>
        <w:t xml:space="preserve">Expand negotiation range autonomy: agents can operate within wider mandate bounds as owner trust score increases</w:t>
      </w:r>
    </w:p>
    <w:p>
      <w:pPr>
        <w:pStyle w:val="ListParagraph"/>
        <w:numPr>
          <w:ilvl w:val="0"/>
          <w:numId w:val="2"/>
        </w:numPr>
        <w:spacing w:before="40" w:after="80"/>
      </w:pPr>
      <w:r>
        <w:rPr>
          <w:rFonts w:ascii="Arial" w:cs="Arial" w:eastAsia="Arial" w:hAnsi="Arial"/>
          <w:sz w:val="22"/>
          <w:szCs w:val="22"/>
        </w:rPr>
        <w:t xml:space="preserve">Services vertical onboarding — extend mandate schema and elicitation engine to handle multi-dimensional service mandates</w:t>
      </w:r>
    </w:p>
    <w:p>
      <w:pPr>
        <w:pStyle w:val="ListParagraph"/>
        <w:numPr>
          <w:ilvl w:val="0"/>
          <w:numId w:val="2"/>
        </w:numPr>
        <w:spacing w:before="40" w:after="80"/>
      </w:pPr>
      <w:r>
        <w:rPr>
          <w:rFonts w:ascii="Arial" w:cs="Arial" w:eastAsia="Arial" w:hAnsi="Arial"/>
          <w:sz w:val="22"/>
          <w:szCs w:val="22"/>
        </w:rPr>
        <w:t xml:space="preserve">Referral mechanics: aligned deals generate invite prompts, incoming users start with pre-warmed trust edges</w:t>
      </w:r>
    </w:p>
    <w:p>
      <w:pPr>
        <w:pStyle w:val="ListParagraph"/>
        <w:numPr>
          <w:ilvl w:val="0"/>
          <w:numId w:val="2"/>
        </w:numPr>
        <w:spacing w:before="40" w:after="80"/>
      </w:pPr>
      <w:r>
        <w:rPr>
          <w:rFonts w:ascii="Arial" w:cs="Arial" w:eastAsia="Arial" w:hAnsi="Arial"/>
          <w:sz w:val="22"/>
          <w:szCs w:val="22"/>
        </w:rPr>
        <w:t xml:space="preserve">RLHF feedback loop: labeled accept/reject signals feed into mandate refinement model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0"/>
            </w:pPr>
            <w:r>
              <w:rPr>
                <w:rFonts w:ascii="Arial" w:cs="Arial" w:eastAsia="Arial" w:hAnsi="Arial"/>
                <w:b/>
                <w:bCs/>
                <w:color w:val="2E6DA4"/>
                <w:sz w:val="22"/>
                <w:szCs w:val="22"/>
              </w:rPr>
              <w:t xml:space="preserve">Phase 3 Exit Criterion:  </w:t>
            </w:r>
            <w:r>
              <w:rPr>
                <w:rFonts w:ascii="Arial" w:cs="Arial" w:eastAsia="Arial" w:hAnsi="Arial"/>
                <w:sz w:val="22"/>
                <w:szCs w:val="22"/>
              </w:rPr>
              <w:t xml:space="preserve">Active users report that agent activity log is a primary reason for product retention. Services vertical produces at least 20 verified completed matches in first 60 days.</w:t>
            </w:r>
          </w:p>
        </w:tc>
      </w:tr>
    </w:tbl>
    <w:p>
      <w:pPr>
        <w:pStyle w:val="Heading2"/>
        <w:spacing w:before="280" w:after="120"/>
      </w:pPr>
      <w:r>
        <w:rPr>
          <w:rFonts w:ascii="Arial" w:cs="Arial" w:eastAsia="Arial" w:hAnsi="Arial"/>
          <w:b/>
          <w:bCs/>
          <w:color w:val="2E6DA4"/>
          <w:sz w:val="26"/>
          <w:szCs w:val="26"/>
        </w:rPr>
        <w:t xml:space="preserve">Phase 4 — Scale and Multi-Vertical (Month 11 and beyond)</w:t>
      </w:r>
    </w:p>
    <w:p>
      <w:pPr>
        <w:spacing w:before="60" w:after="100"/>
        <w:jc w:val="both"/>
      </w:pPr>
      <w:r>
        <w:rPr>
          <w:rFonts w:ascii="Arial" w:cs="Arial" w:eastAsia="Arial" w:hAnsi="Arial"/>
          <w:sz w:val="22"/>
          <w:szCs w:val="22"/>
        </w:rPr>
        <w:t xml:space="preserve">With a proven personal agent layer, a functioning trust graph, and demonstrated network effects, Phase 4 expands the platform to additional verticals and community operator use cases.</w:t>
      </w:r>
    </w:p>
    <w:p>
      <w:pPr>
        <w:pStyle w:val="ListParagraph"/>
        <w:numPr>
          <w:ilvl w:val="0"/>
          <w:numId w:val="2"/>
        </w:numPr>
        <w:spacing w:before="40" w:after="80"/>
      </w:pPr>
      <w:r>
        <w:rPr>
          <w:rFonts w:ascii="Arial" w:cs="Arial" w:eastAsia="Arial" w:hAnsi="Arial"/>
          <w:sz w:val="22"/>
          <w:szCs w:val="22"/>
        </w:rPr>
        <w:t xml:space="preserve">Second vertical launch — local services recommended as highest coordination-cost opportunity</w:t>
      </w:r>
    </w:p>
    <w:p>
      <w:pPr>
        <w:pStyle w:val="ListParagraph"/>
        <w:numPr>
          <w:ilvl w:val="0"/>
          <w:numId w:val="2"/>
        </w:numPr>
        <w:spacing w:before="40" w:after="80"/>
      </w:pPr>
      <w:r>
        <w:rPr>
          <w:rFonts w:ascii="Arial" w:cs="Arial" w:eastAsia="Arial" w:hAnsi="Arial"/>
          <w:sz w:val="22"/>
          <w:szCs w:val="22"/>
        </w:rPr>
        <w:t xml:space="preserve">Community operator white-label offering — HOA groups, alumni networks, workplace communities can deploy Tarp-Space with their own trust seed</w:t>
      </w:r>
    </w:p>
    <w:p>
      <w:pPr>
        <w:pStyle w:val="ListParagraph"/>
        <w:numPr>
          <w:ilvl w:val="0"/>
          <w:numId w:val="2"/>
        </w:numPr>
        <w:spacing w:before="40" w:after="80"/>
      </w:pPr>
      <w:r>
        <w:rPr>
          <w:rFonts w:ascii="Arial" w:cs="Arial" w:eastAsia="Arial" w:hAnsi="Arial"/>
          <w:sz w:val="22"/>
          <w:szCs w:val="22"/>
        </w:rPr>
        <w:t xml:space="preserve">Marketplace integrations — ingest supply from partner platforms to accelerate inventory density in new markets</w:t>
      </w:r>
    </w:p>
    <w:p>
      <w:pPr>
        <w:pStyle w:val="ListParagraph"/>
        <w:numPr>
          <w:ilvl w:val="0"/>
          <w:numId w:val="2"/>
        </w:numPr>
        <w:spacing w:before="40" w:after="80"/>
      </w:pPr>
      <w:r>
        <w:rPr>
          <w:rFonts w:ascii="Arial" w:cs="Arial" w:eastAsia="Arial" w:hAnsi="Arial"/>
          <w:sz w:val="22"/>
          <w:szCs w:val="22"/>
        </w:rPr>
        <w:t xml:space="preserve">Infrastructure scaling review — evaluate pgvector versus dedicated vector store, adjacency tables versus graph database, based on confirmed performance data</w:t>
      </w:r>
    </w:p>
    <w:p>
      <w:pPr>
        <w:pBdr>
          <w:bottom w:val="single" w:color="2E6DA4" w:sz="4" w:space="1"/>
        </w:pBdr>
        <w:spacing w:before="160" w:after="160"/>
      </w:pPr>
      <w:r>
        <w:t xml:space="preserve"/>
      </w:r>
    </w:p>
    <w:p>
      <w:pPr>
        <w:pStyle w:val="Heading1"/>
        <w:spacing w:before="360" w:after="160"/>
      </w:pPr>
      <w:r>
        <w:rPr>
          <w:rFonts w:ascii="Arial" w:cs="Arial" w:eastAsia="Arial" w:hAnsi="Arial"/>
          <w:b/>
          <w:bCs/>
          <w:sz w:val="32"/>
          <w:szCs w:val="32"/>
        </w:rPr>
        <w:t xml:space="preserve">7. Final Assessment</w:t>
      </w:r>
    </w:p>
    <w:p>
      <w:pPr>
        <w:spacing w:before="60" w:after="100"/>
        <w:jc w:val="both"/>
      </w:pPr>
      <w:r>
        <w:rPr>
          <w:rFonts w:ascii="Arial" w:cs="Arial" w:eastAsia="Arial" w:hAnsi="Arial"/>
          <w:sz w:val="22"/>
          <w:szCs w:val="22"/>
        </w:rPr>
        <w:t xml:space="preserve">Tarp-Space is a genuinely novel product concept at the intersection of personal AI agents, trust-graph commerce, and autonomous negotiation. Its core insight — that the coordination layer between need and supply is the real problem, and that an agent with a well-built mandate can automate that layer better than any human — is sound and defensible.</w:t>
      </w:r>
    </w:p>
    <w:p>
      <w:pPr>
        <w:spacing w:before="60" w:after="0"/>
      </w:pPr>
      <w:r>
        <w:t xml:space="preserve"/>
      </w:r>
    </w:p>
    <w:p>
      <w:pPr>
        <w:spacing w:before="60" w:after="100"/>
        <w:jc w:val="both"/>
      </w:pPr>
      <w:r>
        <w:rPr>
          <w:rFonts w:ascii="Arial" w:cs="Arial" w:eastAsia="Arial" w:hAnsi="Arial"/>
          <w:sz w:val="22"/>
          <w:szCs w:val="22"/>
        </w:rPr>
        <w:t xml:space="preserve">The risks are real but manageable if the build sequence is respected. The personal agent layer must come first and deliver standalone value before the network is introduced. The preference elicitation engine is the product's most critical component — everything downstream depends on the quality of the mandate it produces. The agent-to-agent protocol must be designed before the network is built, not after.</w:t>
      </w:r>
    </w:p>
    <w:p>
      <w:pPr>
        <w:spacing w:before="60" w:after="0"/>
      </w:pPr>
      <w:r>
        <w:t xml:space="preserve"/>
      </w:r>
    </w:p>
    <w:p>
      <w:pPr>
        <w:spacing w:before="60" w:after="100"/>
        <w:jc w:val="both"/>
      </w:pPr>
      <w:r>
        <w:rPr>
          <w:rFonts w:ascii="Arial" w:cs="Arial" w:eastAsia="Arial" w:hAnsi="Arial"/>
          <w:sz w:val="22"/>
          <w:szCs w:val="22"/>
        </w:rPr>
        <w:t xml:space="preserve">The compounding memory dynamic — agents that grow more capable and more trusted with every interaction — is the platform's durable competitive moat. It cannot be fast-followed. It can only be earned through sustained use by a community that trusts their agents enough to let them act. That trust is built one well-executed negotiation at a 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0"/>
            </w:pPr>
            <w:r>
              <w:rPr>
                <w:rFonts w:ascii="Arial" w:cs="Arial" w:eastAsia="Arial" w:hAnsi="Arial"/>
                <w:b/>
                <w:bCs/>
                <w:color w:val="2E6DA4"/>
                <w:sz w:val="22"/>
                <w:szCs w:val="22"/>
              </w:rPr>
              <w:t xml:space="preserve">Final Recommendation:  </w:t>
            </w:r>
            <w:r>
              <w:rPr>
                <w:rFonts w:ascii="Arial" w:cs="Arial" w:eastAsia="Arial" w:hAnsi="Arial"/>
                <w:sz w:val="22"/>
                <w:szCs w:val="22"/>
              </w:rPr>
              <w:t xml:space="preserve">Build the personal agent layer first. Nail preference elicitation. Let the mandate quality earn the right to network participation. The network's value will compound faster with well-configured agents than with a large number of thin ones.</w:t>
            </w:r>
          </w:p>
        </w:tc>
      </w:tr>
    </w:tbl>
    <w:p>
      <w:pPr>
        <w:spacing w:before="200" w:after="0"/>
      </w:pPr>
      <w:r>
        <w:t xml:space="preserve"/>
      </w:r>
    </w:p>
    <w:p>
      <w:pPr>
        <w:jc w:val="center"/>
      </w:pPr>
      <w:r>
        <w:rPr>
          <w:rFonts w:ascii="Arial" w:cs="Arial" w:eastAsia="Arial" w:hAnsi="Arial"/>
          <w:color w:val="AAAAAA"/>
          <w:sz w:val="18"/>
          <w:szCs w:val="18"/>
        </w:rPr>
        <w:t xml:space="preserve">Tarp-Space Strategic Analysis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2026-03-24T06:29:46.696Z</dcterms:created>
  <dcterms:modified xsi:type="dcterms:W3CDTF">2026-03-24T06:29:46.697Z</dcterms:modified>
</cp:coreProperties>
</file>

<file path=docProps/custom.xml><?xml version="1.0" encoding="utf-8"?>
<Properties xmlns="http://schemas.openxmlformats.org/officeDocument/2006/custom-properties" xmlns:vt="http://schemas.openxmlformats.org/officeDocument/2006/docPropsVTypes"/>
</file>