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pPr>
      <w:r>
        <w:rPr>
          <w:b/>
          <w:bCs/>
          <w:sz w:val="44"/>
          <w:szCs w:val="44"/>
        </w:rPr>
        <w:t xml:space="preserve">Grant Tracker</w:t>
      </w:r>
    </w:p>
    <w:p>
      <w:pPr>
        <w:spacing w:after="360"/>
      </w:pPr>
      <w:r>
        <w:rPr>
          <w:color w:val="555555"/>
          <w:sz w:val="30"/>
          <w:szCs w:val="30"/>
        </w:rPr>
        <w:t xml:space="preserve">The goal agent and the intelligence layer</w:t>
      </w:r>
    </w:p>
    <w:p>
      <w:pPr>
        <w:spacing w:after="120"/>
      </w:pPr>
      <w:r>
        <w:rPr>
          <w:i/>
          <w:iCs/>
          <w:color w:val="555555"/>
          <w:sz w:val="22"/>
          <w:szCs w:val="22"/>
        </w:rPr>
        <w:t xml:space="preserve">Strategy brief and v1 product definition. A living document — the evidence log tracks what has been validated versus assumed, and the brief should keep evolving as real-world evidence comes in.</w:t>
      </w:r>
    </w:p>
    <w:p>
      <w:pPr>
        <w:spacing w:before="600"/>
      </w:pPr>
      <w:r>
        <w:rPr>
          <w:color w:val="555555"/>
          <w:sz w:val="20"/>
          <w:szCs w:val="20"/>
        </w:rPr>
        <w:t xml:space="preserve">Prepared by: Paul Kilty</w:t>
      </w:r>
    </w:p>
    <w:p>
      <w:r>
        <w:rPr>
          <w:color w:val="555555"/>
          <w:sz w:val="20"/>
          <w:szCs w:val="20"/>
        </w:rPr>
        <w:t xml:space="preserve">Last updated: 2 June 2026 (repositioning + tiered companion model)</w:t>
      </w:r>
    </w:p>
    <w:p>
      <w:pPr>
        <w:pageBreakBefore/>
      </w:pPr>
      <w:r>
        <w:br/>
        <w:t xml:space="preserve"/>
      </w:r>
    </w:p>
    <w:p>
      <w:pPr>
        <w:pStyle w:val="Heading1"/>
        <w:spacing w:after="160" w:before="360"/>
      </w:pPr>
      <w:r>
        <w:t xml:space="preserve">Part one: the bigger picture</w:t>
      </w:r>
    </w:p>
    <w:p>
      <w:pPr>
        <w:pStyle w:val="Heading2"/>
        <w:spacing w:after="120" w:before="280"/>
      </w:pPr>
      <w:r>
        <w:t xml:space="preserve">What Grant Tracker is becoming</w:t>
      </w:r>
    </w:p>
    <w:p>
      <w:pPr>
        <w:spacing w:after="140" w:before="0"/>
      </w:pPr>
      <w:r>
        <w:t xml:space="preserve">An intelligence layer for UK social impact funding. In one sentence: intelligent agents for both organisations and funders that connect and validate both — starting with the organisation side.</w:t>
      </w:r>
    </w:p>
    <w:p>
      <w:pPr>
        <w:spacing w:after="140" w:before="0"/>
      </w:pPr>
      <w:r>
        <w:rPr>
          <w:b/>
        </w:rPr>
        <w:t xml:space="preserve">Positioning: the core is the strategic companion, not discovery and matching.</w:t>
      </w:r>
      <w:r>
        <w:t xml:space="preserve"> This is the central repositioning, and everything sits around it. What is sold is a reasoning agent that acts as a strategic and workhorse digital companion — one a fundraiser uses regularly, even daily, that holds their goal, reasons across the funding mix, and helps them plan, prioritise and execute. Discovery, matching, eligibility and pipeline are not the product; they are the verified inputs the agent reasons over. This matters because discovery and matching are the commoditising, free-elsewhere, ~70%-reproducible layer the strategy gives away to acquire users — so leading with them positions the product on ground it cannot win and does not monetise. The MCP test captures are the proof point: grounding the model's reasoning in verified Grant Tracker data already produces genuine adviser-like judgment (leading with the real constraint, ruling out with reasons, surfacing the non-obvious move, honest about gaps) across the full audience span. The full-platform agent is that same proven reasoning quality, extended with richer context (the persistent org model, pipeline, relationships, not just the catalogue), persistence and proactivity, and the ability to act across the tools — the same companion feel, woven through everything rather than a single consultation. The shift from episodic use (search when you need funding) to a regularly-used companion is what justifies a meaningful, value-aligned price.</w:t>
      </w:r>
    </w:p>
    <w:p>
      <w:pPr>
        <w:spacing w:after="140" w:before="0"/>
      </w:pPr>
      <w:r>
        <w:rPr>
          <w:b/>
        </w:rPr>
        <w:t xml:space="preserve">Landing-page implication.</w:t>
      </w:r>
      <w:r>
        <w:t xml:space="preserve"> The current landing page sells the old positioning — “Funding, matched for you,” a match-percentage hero, a “setup, search, track” process, and matching/pipeline as the headline features. It should reposition around the agent as the core (headline about a fundraising strategist/companion, a hero that shows the agent's reasoning rather than a match score, a “set your goal, get your plan, work it with the agent” framing, with matching/eligibility/pipeline demoted to the inputs the agent uses). Important discipline: the rewrite should track what can actually be delivered. Until the agent is built, repositioning the whole page around it would sell the cohort something not yet real and risk the trust the strategy depends on — so the page evolves toward the agent framing as the agent becomes deliverable, with a tagline carrying the new positioning in the meantime. Note on the name: “Grant Tracker” underspecifies the new positioning but does not misdescribe it (grants and tracking remain core), and it is searchable, MCP-friendly and already known — so the name stays and the tagline and messaging carry the repositioning, rather than an expensive rename that would forfeit SEO and MCP standing.</w:t>
      </w:r>
    </w:p>
    <w:p>
      <w:pPr>
        <w:spacing w:after="140" w:before="0"/>
      </w:pPr>
      <w:r>
        <w:t xml:space="preserve">The product has three nested levels. The individual goal-driven agent delivers value to each user and acquires the user base. The central brain accumulates intelligence from all agent activity across all funding types and compounds it over time. That accumulated intelligence makes every agent smarter, establishes Grant Tracker as the authoritative source of sector funding intelligence, and eventually powers carefully-designed institutional products.</w:t>
      </w:r>
    </w:p>
    <w:p>
      <w:pPr>
        <w:spacing w:after="140" w:before="0"/>
      </w:pPr>
      <w:r>
        <w:t xml:space="preserve">The agent is how value is delivered and data is generated. The central brain is the compounding asset that becomes the durable moat.</w:t>
      </w:r>
    </w:p>
    <w:p>
      <w:pPr>
        <w:pStyle w:val="Heading2"/>
        <w:spacing w:after="120" w:before="280"/>
      </w:pPr>
      <w:r>
        <w:t xml:space="preserve">Why this is defensible</w:t>
      </w:r>
    </w:p>
    <w:p>
      <w:pPr>
        <w:spacing w:after="140" w:before="0"/>
      </w:pPr>
      <w:r>
        <w:t xml:space="preserve">The agent reasoning itself will commoditise — horizontal AI (Google's continuous agents, Claude, others) will offer goal-context and continuous monitoring within 18–24 months. The defensibility is not the agent. It is:</w:t>
      </w:r>
    </w:p>
    <w:p>
      <w:pPr>
        <w:pStyle w:val="ListParagraph"/>
        <w:numPr>
          <w:ilvl w:val="0"/>
          <w:numId w:val="2"/>
        </w:numPr>
        <w:spacing w:after="90"/>
      </w:pPr>
      <w:r>
        <w:t xml:space="preserve">The verified, audit-grade catalog that addresses the hallucination problem horizontal AI can't solve.</w:t>
      </w:r>
    </w:p>
    <w:p>
      <w:pPr>
        <w:pStyle w:val="ListParagraph"/>
        <w:numPr>
          <w:ilvl w:val="0"/>
          <w:numId w:val="2"/>
        </w:numPr>
        <w:spacing w:after="90"/>
      </w:pPr>
      <w:r>
        <w:t xml:space="preserve">The accumulated cross-user, cross-funding-type intelligence grounded in real observed activity, which no general AI can replicate.</w:t>
      </w:r>
    </w:p>
    <w:p>
      <w:pPr>
        <w:pStyle w:val="ListParagraph"/>
        <w:numPr>
          <w:ilvl w:val="0"/>
          <w:numId w:val="2"/>
        </w:numPr>
        <w:spacing w:after="90"/>
      </w:pPr>
      <w:r>
        <w:t xml:space="preserve">The position as the trusted, sector-aligned intelligence institution.</w:t>
      </w:r>
    </w:p>
    <w:p>
      <w:pPr>
        <w:pStyle w:val="ListParagraph"/>
        <w:numPr>
          <w:ilvl w:val="0"/>
          <w:numId w:val="2"/>
        </w:numPr>
        <w:spacing w:after="90"/>
      </w:pPr>
      <w:r>
        <w:t xml:space="preserve">The eventual funder-side commercial layer, which depends on all of the above.</w:t>
      </w:r>
    </w:p>
    <w:p>
      <w:pPr>
        <w:spacing w:after="140" w:before="0"/>
      </w:pPr>
      <w:r>
        <w:t xml:space="preserve">These compound over time and cannot be shortcut. The agent is the entry point; the accumulated knowledge and trust position are the moat.</w:t>
      </w:r>
    </w:p>
    <w:p>
      <w:pPr>
        <w:pStyle w:val="Heading2"/>
        <w:spacing w:after="120" w:before="280"/>
      </w:pPr>
      <w:r>
        <w:t xml:space="preserve">Sector context: AI in fundraising (external evidence, mid-2026)</w:t>
      </w:r>
    </w:p>
    <w:p>
      <w:pPr>
        <w:spacing w:after="140" w:before="0"/>
      </w:pPr>
      <w:r>
        <w:t xml:space="preserve">Independent sector research validates the direction and sharpens where the real differentiation lies. Synthesised from multiple 2026 sources; useful as external corroboration alongside the cohort evidence.</w:t>
      </w:r>
    </w:p>
    <w:p>
      <w:pPr>
        <w:spacing w:after="140" w:before="0"/>
      </w:pPr>
      <w:r>
        <w:rPr>
          <w:i w:val="false"/>
          <w:iCs w:val="false"/>
        </w:rPr>
        <w:t xml:space="preserve">Adoption is near-universal but impact is shallow — and that gap is the opportunity. The Virtuous / Fundraising.AI 2026 Nonprofit AI Adoption Report (346 nonprofits) found roughly 92% of nonprofits use AI, yet only about 7% report major improvements in organisational capability, around 81% use AI individually without shared workflows, and about 47% have no AI governance policy. The characteristic picture is one person using ChatGPT to draft an appeal while the rest of the team is buried in manual, disconnected processes. The unmet need is therefore not access to AI — the sector has that — but AI embedded as a connected workflow. That gap between shallow individual use and integrated, persistent, goal-driven use is precisely the convergence thesis, quantified.</w:t>
      </w:r>
    </w:p>
    <w:p>
      <w:pPr>
        <w:spacing w:after="140" w:before="0"/>
      </w:pPr>
      <w:r>
        <w:t xml:space="preserve">Funders are now rejecting generic AI output — which makes the authenticity-and-grounding positioning essential, not optional. Sector guidance (Plinth, OpenGrants, Charity Excellence's 2026 Grant Making survey) consistently reports that funders' reviewers can now spot generic AI-generated applications and that this does not help applicants; some major foundations have begun flagging proposals that read as machine-written, and research funders such as the NIH have moved to explicit policy against applications substantially developed by AI. Charity Excellence's 2026 survey found a large majority of charities now use or plan to use AI for applications, but describe supportive use rather than automation. The consensus formulation across the sector is that AI will not replace fundraisers, but fundraisers who use AI well will outperform those who don't. The winning division of labour — AI handles structure, research and compliance; a human writes the narrative — is almost exactly the application-builder design (draft from the user's own core content, flag gaps, user edits in their authentic voice), confirming that design instinct is evidence-backed.</w:t>
      </w:r>
    </w:p>
    <w:p>
      <w:pPr>
        <w:spacing w:after="140" w:before="0"/>
      </w:pPr>
      <w:r>
        <w:t xml:space="preserve">“Grounded, verified, sector-specific” is the right battleground — and it is becoming contested. Multiple sources distinguish tools built for the sector (which understand UK funder language and structure) from general-purpose models (which require close oversight and can produce confident, irrelevant output). Notably, the nearest competitor (FundRobin) now publicly positions on exactly this “grounded AI, verified data, funder intelligence” ground. The implication is twofold: the positioning is correct, and the claim itself is becoming common, so actual data fidelity — not the marketing claim — is what separates the product. This is direct external support for prioritising catalogue accuracy and verification as the moat.</w:t>
      </w:r>
    </w:p>
    <w:p>
      <w:pPr>
        <w:spacing w:after="140" w:before="0"/>
      </w:pPr>
      <w:r>
        <w:t xml:space="preserve">Two further signals worth holding. First, on jobs: the prevailing sector view is augmentation rather than wholesale replacement — routine tasks are reshaped, the capacity-and-burnout crisis means efficiency is absorbed into doing more rather than cutting roles, and an efficiency-creates-demand (Jevons' paradox) dynamic is plausible. The more provocative “AI is coming for fundraisers' jobs” thesis (MacQuillin/Rogare) is a legitimate long-range warning that whatever is “just text generation” is most commoditisable — which again points the moat at verified data and accumulated intelligence rather than drafting. Second, funders are increasingly using AI to assess and triage applications, including predictive eligibility models trained on past awards and denials. This makes the information asymmetry an AI-versus-AI asymmetry, and lends real weight to the “funder-AI mirror” feature idea (showing applicants how funder-side AI might view them) — a genuinely distinctive, forward-looking capability, though a later addition rather than v1.</w:t>
      </w:r>
    </w:p>
    <w:p>
      <w:pPr>
        <w:spacing w:after="140" w:before="0"/>
      </w:pPr>
      <w:r>
        <w:rPr>
          <w:i/>
          <w:iCs/>
        </w:rPr>
        <w:t xml:space="preserve">Caveats to track: GDPR and data-processing rigour for charity data shared with AI is now an explicit sector concern (ICO guidance) and will need a clean answer; and per-application pricing is a recognised pain point for small charities submitting many bids a year — quiet validation of the decision against proposal/credit metering.</w:t>
      </w:r>
    </w:p>
    <w:p>
      <w:pPr>
        <w:pStyle w:val="Heading2"/>
        <w:spacing w:after="120" w:before="280"/>
      </w:pPr>
      <w:r>
        <w:t xml:space="preserve">The central brain and its ethical ordering</w:t>
      </w:r>
    </w:p>
    <w:p>
      <w:pPr>
        <w:spacing w:after="140" w:before="0"/>
      </w:pPr>
      <w:r>
        <w:t xml:space="preserve">A central knowledge layer learns from all individual agents and feeds that learning back. This is the keystone — it turns a collection of agents into a compounding system with genuine network effects, operationalises the data moat, and connects the organisation-side and funder-side strategies.</w:t>
      </w:r>
    </w:p>
    <w:p>
      <w:pPr>
        <w:spacing w:after="140" w:before="0"/>
      </w:pPr>
      <w:r>
        <w:t xml:space="preserve">Its outputs serve three audiences, deliberately in this order:</w:t>
      </w:r>
    </w:p>
    <w:p>
      <w:pPr>
        <w:pStyle w:val="ListParagraph"/>
        <w:numPr>
          <w:ilvl w:val="0"/>
          <w:numId w:val="2"/>
        </w:numPr>
        <w:spacing w:after="90"/>
      </w:pPr>
      <w:r>
        <w:t xml:space="preserve">First, the individual agents — making each user's agent smarter at reasoning across the funding mix. Unambiguously in users' interest. The priority and the default.</w:t>
      </w:r>
    </w:p>
    <w:p>
      <w:pPr>
        <w:pStyle w:val="ListParagraph"/>
        <w:numPr>
          <w:ilvl w:val="0"/>
          <w:numId w:val="2"/>
        </w:numPr>
        <w:spacing w:after="90"/>
      </w:pPr>
      <w:r>
        <w:t xml:space="preserve">Second, the sector broadly — sector insights and thought pieces that help charities and social enterprises navigate a previously opaque funding landscape, and that establish Grant Tracker as the authoritative source of UK social impact funding intelligence. This rebalances the information asymmetry in the sector's favour, builds authority, and drives acquisition.</w:t>
      </w:r>
    </w:p>
    <w:p>
      <w:pPr>
        <w:pStyle w:val="ListParagraph"/>
        <w:numPr>
          <w:ilvl w:val="0"/>
          <w:numId w:val="2"/>
        </w:numPr>
        <w:spacing w:after="90"/>
      </w:pPr>
      <w:r>
        <w:t xml:space="preserve">Third, eventually and carefully, the institutional side — funders, corporates, local authorities — through commercial intelligence products designed to be pro-sector (directing money to genuine need) rather than anti-sector (giving institutions leverage over applicants), with explicit informed consent and careful design.</w:t>
      </w:r>
    </w:p>
    <w:p>
      <w:pPr>
        <w:spacing w:after="140" w:before="0"/>
      </w:pPr>
      <w:r>
        <w:t xml:space="preserve">This ordering — users first, sector second, institutions third — is the ethical and strategic spine of the data strategy. It is what makes the central brain trustworthy in a sector that judges precisely this. Leading with institutional sales would breach trust; leading with user benefit and sector value earns the trust that makes the eventual institutional products acceptable.</w:t>
      </w:r>
    </w:p>
    <w:p>
      <w:pPr>
        <w:spacing w:after="140" w:before="0"/>
      </w:pPr>
      <w:r>
        <w:t xml:space="preserve">Non-negotiable ethical principles, designed in from the start: competitive specifics are never cross-pollinated between organisations (the brain learns patterns, not playbooks); anonymisation must be real for a small sector where niches can be tiny and de-anonymisable; data contribution must produce visible collective benefit; and the whole approach must be transparent to users.</w:t>
      </w:r>
    </w:p>
    <w:p>
      <w:pPr>
        <w:pStyle w:val="Heading2"/>
        <w:spacing w:after="120" w:before="280"/>
      </w:pPr>
      <w:r>
        <w:t xml:space="preserve">The funding types this spans</w:t>
      </w:r>
    </w:p>
    <w:p>
      <w:pPr>
        <w:spacing w:after="140" w:before="0"/>
      </w:pPr>
      <w:r>
        <w:t xml:space="preserve">The agent and the central brain are not grant-specific. They span grants, social investment, impact investment, contracts and commissioning, and corporate partnerships. Intelligence across these builds slowly and cumulatively over years — which is exactly what makes it defensible, since breadth across funding types grounded in real activity cannot be shortcut. The cross-funding-type knowledge is also what makes the agent's mix-reasoning genuinely smart rather than speculative.</w:t>
      </w:r>
    </w:p>
    <w:p>
      <w:pPr>
        <w:pStyle w:val="Heading2"/>
        <w:spacing w:after="120" w:before="280"/>
      </w:pPr>
      <w:r>
        <w:t xml:space="preserve">The relationship and access layer — a sector shift to design for</w:t>
      </w:r>
    </w:p>
    <w:p>
      <w:pPr>
        <w:spacing w:after="140" w:before="0"/>
      </w:pPr>
      <w:r>
        <w:t xml:space="preserve">Cohort feedback (Jen, 3 June) surfaced a dimension of the journey the agent as currently conceived barely touches, and a sector trend that makes it increasingly decisive. The agent is strong on the WHAT (what fits the goal, what to prioritise, what to apply for) but largely silent on the WHO (who to connect with, who can open a door, how to build the funder relationship). Jen's hardest, most time-consuming work is on the WHO: network mapping, finding the right person and contact, getting in front of prospective funders, and the deep-dive to judge fit before investing effort. And the forward-looking point, now grounded in sector evidence rather than inference (see the funder-side evidence entry in the log): the funder-applicant relationship is being deliberately reshaped. IVAR's Open and Trusting Grant-making movement has 150+ UK funders (£1bn+ in grants, 2023-24, fifth year) committing to lighter, more relational, more trust-based practice; funder consolidation means fewer but larger funders, concentrating power and tightening competition; and an AI-driven application-volume crisis (10,000 new charity applications vs the usual 5,000, approval rates halved) is pushing funders away from open floods. The honest nuance: this is NOT simply “who-you-know replaces open applications.” Trust-based reform pushes the other way too, toward MORE accessible, less gatekept funding. So the accurate reading is that the WHO matters more than before, while open routes are being reformed and supplemented, not abolished. Either way the conclusion holds: knowing a funder deeply and being able to build a relationship becomes more decisive, and the game shifts further from a pure transaction (find, apply, get) toward a relationship (get known, build trust, get invited) — without the transaction disappearing.</w:t>
      </w:r>
    </w:p>
    <w:p>
      <w:pPr>
        <w:spacing w:after="140" w:before="0"/>
      </w:pPr>
      <w:r>
        <w:t xml:space="preserve">This splits into a near-term strength and a harder, later capability. The near-term strength is fit assessment and funder intelligence — “is this funder right for us, and is it worth our time, before we invest effort?” This is squarely in the agent's wheelhouse, directly addresses the “time wasted assessing fit” pain, uses data already held, and is exactly what the MCP captures proved (the Lewisham/London fit-and-worth-it reasoning). It should be prominent. Alongside it, the agent can surface the verifiable, structured contact intelligence it can stand behind — where a funder publishes how to approach them, the route, the named contact — which is catalogue-adjacent and which Jen explicitly said would help. Notably, the sector shift makes this intelligence layer MORE valuable, not less: if you must build a relationship rather than just apply, knowing the funder deeply becomes more important, because you're investing in a relationship, not firing off a form. The funder-AI-mirror connects here too — being “findable” and “investable” to funders' own AI is relationship-adjacent.</w:t>
      </w:r>
    </w:p>
    <w:p>
      <w:pPr>
        <w:spacing w:after="140" w:before="0"/>
      </w:pPr>
      <w:r>
        <w:t xml:space="preserve">The harder, later capability is the relationship and network-mapping layer proper — “who do we know who could open this door, who's the best person to reach, help me build this relationship over time.” This is real and increasingly important, but it bumps into two things: it needs people-and-relationship data (named individuals, roles, contacts, and the organisation's own network/connection graph) that is messier, more privacy-sensitive and harder to verify than funder-opportunity data; and the “who do we know” part depends on the agent having access to the organisation's own relationship data — the CRM/relationship layer Jen named the absence of. So this is a genuine future direction tied to the CRM layer, not v1. The honest caveat: contact/relationship data goes stale and is hard to verify, so the fail-toward-honesty discipline is critical — only surface contacts/relationship intelligence the agent can stand behind, and degrade honestly (“this funder doesn't publish a contact; you'll need to network in”) rather than confidently suggesting a wrong or departed person, which would damage trust badly.</w:t>
      </w:r>
    </w:p>
    <w:p>
      <w:pPr>
        <w:spacing w:after="140" w:before="0"/>
      </w:pPr>
      <w:r>
        <w:rPr>
          <w:i/>
        </w:rPr>
        <w:t xml:space="preserve">Strategic significance: if the shift to relationship-led funding holds, the companion that helps build and manage funder relationships — not just find and apply for funding — is the more complete and more future-proof version of the vision. It reframes the CRM/relationship layer from an admin-convenience execution feature into something strategic: the relationship layer is becoming the core of how funding actually happens. Hold this as a real medium-term direction (post-v1), and in the meantime make the near-term fit-assessment and verifiable-contact intelligence prominent, since the sector shift strengthens rather than weakens their value.</w:t>
      </w:r>
    </w:p>
    <w:p>
      <w:pPr>
        <w:spacing w:after="140" w:before="0"/>
      </w:pPr>
      <w:r>
        <w:rPr>
          <w:b/>
        </w:rPr>
        <w:t xml:space="preserve">Corporate partnerships: the relationship layer's first concrete domain.</w:t>
      </w:r>
      <w:r>
        <w:t xml:space="preserve"> A corporate partnerships catalogue section (companies small and large with CSR agendas and a social-impact angle, but no open funding calls) was explored earlier and deliberately paused. The relationship-layer direction upgrades it rather than un-pauses it. Corporates are the purest expression of relationship-led funding: with no application process at all, the relationship IS the only route in — so this is the part of the funding landscape where the agent's relationship capability isn't a nice-to-have but the whole game. It also strengthens the mixed-funding promise (partnerships are already named as a funding type the agent spans, and cohort members — Emma, Jen — raise from corporates), and the data is defensible precisely because it's hard: corporate CSR intent is dispersed, unstructured, judgment-requiring intelligence that nobody can scrape, unlike open grant listings.</w:t>
      </w:r>
    </w:p>
    <w:p>
      <w:pPr>
        <w:spacing w:after="140" w:before="0"/>
      </w:pPr>
      <w:r>
        <w:t xml:space="preserve">The reframe that matters: this should NOT return as “more catalogue rows” or a browsable directory of companies with CSR pages — that's the weak version, and it's structurally a different catalogue (soft, judgment-based data with no amounts/deadlines/eligibility to verify, a faster decay rate, and heavy exposure to the stale-contact trust risk). It should return as the data substrate for the agent doing relationship reasoning: “these companies' CSR agendas genuinely align with your work; there's no open call, so here's how organisations typically get in; this is a 6–12 month relationship build, sequenced alongside your grant pipeline like this.” Designed that way, the corporate section and the relationship/CRM layer are one piece of work, not two — which settles the timing: it belongs with the relationship layer in the post-v1 sequence, not before. The only action now is schema headroom: as with contracts, keep the catalogue's data model flexible enough that a softer, relationship-shaped funding category (themes, posture, past partnerships, route in — not amounts/deadlines) can slot in cleanly later, without building it yet.</w:t>
      </w:r>
    </w:p>
    <w:p>
      <w:pPr>
        <w:pStyle w:val="Heading2"/>
        <w:spacing w:after="120" w:before="280"/>
      </w:pPr>
      <w:r>
        <w:t xml:space="preserve">The commercial structure</w:t>
      </w:r>
    </w:p>
    <w:p>
      <w:pPr>
        <w:spacing w:after="140" w:before="0"/>
      </w:pPr>
      <w:r>
        <w:t xml:space="preserve">Priced by defensibility and by depth of the companion. A code-level assessment of the matching engine (see evidence) found it ~70% sophisticated structured filtering that a capable user with good search filters could largely reproduce — not defensible enough to charge for, especially as generic AI improves — so discovery is acquisition gravity, not a revenue line. The repositioning toward a regularly-used strategic companion changes the model from a single flat tier toward a tiered companion model, for two connected reasons: ability to pay is unevenly distributed (the financially-fragile lower segment versus the resourced upper segment), and — importantly — a daily companion's cost-to-serve scales with engagement, since every agent conversation is API cost that grows as context accumulates. Under a single flat price, the most engaged, most dependent, highest-value users are also the most expensive to serve, which erodes margin on exactly the best users. Tiering by depth resolves both: a reachable tier for smaller orgs, a fuller tier for resourced heavy users, with price aligned to value and to cost-to-serve.</w:t>
      </w:r>
    </w:p>
    <w:p>
      <w:pPr>
        <w:pStyle w:val="ListParagraph"/>
        <w:numPr>
          <w:ilvl w:val="0"/>
          <w:numId w:val="2"/>
        </w:numPr>
        <w:spacing w:after="90"/>
      </w:pPr>
      <w:r>
        <w:t xml:space="preserve">Free tier — search, profile matching, pipeline, and the MCP. Discovery is commoditising (generic AI, a search box, free competitors), so giving it away undermines transactional competitors and makes Grant Tracker the most generous free utility for the UK social sector. The honest positioning: “finding funding shouldn't cost anything; you pay when the agent does the strategic and execution work.” The MCP in the Claude directory is also the primary marketing funnel.</w:t>
      </w:r>
    </w:p>
    <w:p>
      <w:pPr>
        <w:pStyle w:val="ListParagraph"/>
        <w:numPr>
          <w:ilvl w:val="0"/>
          <w:numId w:val="2"/>
        </w:numPr>
        <w:spacing w:after="90"/>
      </w:pPr>
      <w:r>
        <w:t xml:space="preserve">Lighter companion tier — the goal agent at core depth: the reasoning, prioritisation and goal-tracking, bounded to ordinary individual use (e.g. a single goal, standard usage). Priced to be genuinely reachable for smaller-but-paying organisations — likely below £50/month, to be validated. This is the entry to the paid companion for the cost-conscious end.</w:t>
      </w:r>
    </w:p>
    <w:p>
      <w:pPr>
        <w:pStyle w:val="ListParagraph"/>
        <w:numPr>
          <w:ilvl w:val="0"/>
          <w:numId w:val="2"/>
        </w:numPr>
        <w:spacing w:after="90"/>
      </w:pPr>
      <w:r>
        <w:t xml:space="preserve">Fuller companion tier — the agent at full depth: heavier usage, multiple goals, and the execution layers (application builder, CRM/relationship) as they arrive, plus team features for larger orgs. For the resourced paying heartland, priced above the lighter tier (and plausibly above £50) to reflect both the greater value and the higher cost-to-serve of heavy, daily use. Provisional figure originally anchored at ~£50/month for a single agent tier; the tiering now spreads around that anchor.</w:t>
      </w:r>
    </w:p>
    <w:p>
      <w:pPr>
        <w:pStyle w:val="ListParagraph"/>
        <w:numPr>
          <w:ilvl w:val="0"/>
          <w:numId w:val="2"/>
        </w:numPr>
        <w:spacing w:after="90"/>
      </w:pPr>
      <w:r>
        <w:t xml:space="preserve">How the tiers are drawn — by capability and generous-but-bounded depth, NOT by per-prompt/credit metering. This resolves the real tension: cost-to-serve genuinely scales with engagement, but metering usage punishes the engagement that makes the companion valuable (and is the writing-business model the strategy rejects). Each tier names a level (depth, number of goals, seats) and includes enough usage that normal use never hits a limit; a cost ceiling per tier exists in the background as a safety net, but the user experiences a single predictable monthly price, not pay-per-prompt anxiety. Market context: nonprofit SaaS is ~82% subscription precisely because boards want predictable costs, and usage-based pricing backfires when buyers can't estimate usage. Pricing benchmarks for orientation (FundRobin £15 / £159 / £399; Fundin £499–£1,499 done-for-you; Instrumentl ~$162–179/mo; GrantHub / Grant Frog ~$99/mo; Grantseeker Premium ~$57/mo) show clear headroom against full-feature tiers, though FundRobin's £15 anchor means the lighter tier is not the lowest entry point in the market.</w:t>
      </w:r>
    </w:p>
    <w:p>
      <w:pPr>
        <w:pStyle w:val="ListParagraph"/>
        <w:numPr>
          <w:ilvl w:val="0"/>
          <w:numId w:val="2"/>
        </w:numPr>
        <w:spacing w:after="90"/>
      </w:pPr>
      <w:r>
        <w:rPr>
          <w:b/>
        </w:rPr>
        <w:t xml:space="preserve">All tier prices and boundaries are provisional pending real cost data.</w:t>
      </w:r>
      <w:r>
        <w:t xml:space="preserve"> Because cost-per-user is variable and only knowable once the agent is live and being used, the tier structure is the intended model but the specific prices and the light/heavy boundaries cannot be finalised on guesses. Instrument per-user API cost as soon as real usage exists, then set tier boundaries and prices against actual cost-to-serve and observed value.</w:t>
      </w:r>
    </w:p>
    <w:p>
      <w:pPr>
        <w:pStyle w:val="ListParagraph"/>
        <w:numPr>
          <w:ilvl w:val="0"/>
          <w:numId w:val="2"/>
        </w:numPr>
        <w:spacing w:after="90"/>
      </w:pPr>
      <w:r>
        <w:t xml:space="preserve">Held in reserve, sequenced into the tiers as evidence and build allow: the application builder and CRM/relationship layer (cohort evidence is pulling these forward — see segmentation/evidence — and they belong in the fuller companion tier as they arrive); multi-seat / organisation tiers (David has already requested team functions; segment 7); and a consultant / multi-org tier (segment 6). A standalone “eligibility intelligence + funder briefs” framing remains possible but is more naturally part of the companion than a separate tier.</w:t>
      </w:r>
    </w:p>
    <w:p>
      <w:pPr>
        <w:pStyle w:val="ListParagraph"/>
        <w:numPr>
          <w:ilvl w:val="0"/>
          <w:numId w:val="2"/>
        </w:numPr>
        <w:spacing w:after="90"/>
      </w:pPr>
      <w:r>
        <w:t xml:space="preserve">The funder-side commercial layer is phase three, dependent on accumulated data and trust.</w:t>
      </w:r>
    </w:p>
    <w:p>
      <w:pPr>
        <w:spacing w:after="140" w:before="0"/>
      </w:pPr>
      <w:r>
        <w:t xml:space="preserve">The line to hold: don't paywall finding grants; paywall doing the strategic and execution work. The decision is recoverable by design — it is easier to free up paid features later than to claw back free ones — so the free/paid boundary is set provisionally and validated as evidence comes in. The open risk to watch: if the free product is “good enough,” the goal agent must be a categorical step up (felt-problem relief in coordination, sequencing, vigilance and execution) rather than “matching plus extras,” or price-sensitive users default to free. This is the central thing to validate with the cohort.</w:t>
      </w:r>
    </w:p>
    <w:p>
      <w:pPr>
        <w:spacing w:after="140" w:before="0"/>
      </w:pPr>
      <w:r>
        <w:t xml:space="preserve">The conversion mechanism — a time-boxed agent trial, not pure freemium. Evidence on conversion is decisive here and shifts the model in one specific way. Pure freemium (free forever on discovery, paid agent behind a wall) converts at typical rates of just 2–5%, with only top-quartile products reaching 6–15% — against a price-sensitive base, that is low single digits, so the model would live or die on a very large free funnel (precisely the strategic job assigned to the MCP). Free trials, by contrast, convert at 17–50%, and “time to value in the first 7–14 days” is the single biggest predictor of conversion. The implication is not to paywall discovery — that stays free forever, preserving trust and the funnel — but to add a time-boxed trial of the goal agent (e.g. 14 days) so free users experience the agent's categorical step-up rather than merely being told it exists. This attacks the “free is good enough” problem directly: experiencing-then-losing-access converts far better than never-experiencing, and it serves the very thing the strategy says matters most — that the agent must feel like a step up — by letting users feel it. Keep the architecture (free discovery, flat subscription, no metering) and make the trial the bridge across the free/paid boundary.</w:t>
      </w:r>
    </w:p>
    <w:p>
      <w:pPr>
        <w:spacing w:after="140" w:before="0"/>
      </w:pPr>
      <w:r>
        <w:rPr>
          <w:i/>
        </w:rPr>
        <w:t xml:space="preserve">Ability to pay is the binding constraint, and the brief should be honest about the denominator. Around 67% of charities name squeezed finances as their top barrier to any tech investment; organisations under £500k income are disproportionately likely to run deficits and hold thin reserves, and a majority of charities have warned they may struggle with rising cost pressures. Since the target range is £100k–£2m, the bottom half of that range is financially fragile — the product may be sound while the wallet is not, which is exactly what the Olympias signals (no budget to pay; too stretched to trial) and Emma's caution reflect in practice. The consequence is not a lower price but clarity about where revenue versus mission-value lands: the “cheaper than a consultant” story (£50/mo against £250–400/day) is true and compelling for the more-resourced upper segment (the realistic paying heartland — roughly £500k–£2m, segments 2, 4, 7), but oversells for the fragile lower segment, whose real alternative is “free tools plus my own evenings,” for whom £600/year is a genuine new budget line and for some simply unaffordable. The free tier serves those smaller organisations as sector good and as the funnel; the paid agent converts the more-resourced ones — and because freemium conversion is low single digits unless lifted, both the MCP funnel and the time-boxed trial mechanism are load-bearing, not optional.</w:t>
      </w:r>
    </w:p>
    <w:p>
      <w:pPr>
        <w:pStyle w:val="Heading2"/>
        <w:spacing w:after="120" w:before="280"/>
      </w:pPr>
      <w:r>
        <w:t xml:space="preserve">The phasing</w:t>
      </w:r>
    </w:p>
    <w:p>
      <w:pPr>
        <w:pStyle w:val="ListParagraph"/>
        <w:numPr>
          <w:ilvl w:val="0"/>
          <w:numId w:val="2"/>
        </w:numPr>
        <w:spacing w:after="90"/>
      </w:pPr>
      <w:r>
        <w:t xml:space="preserve">Phase one (months 0–6): build and launch the v1 goal-driven agent for mixed-income charities and CICs. Submit and position the MCP. Establish the audit-grade quality standard and the data-capture and consent foundations. Reach the first hundred paying users.</w:t>
      </w:r>
    </w:p>
    <w:p>
      <w:pPr>
        <w:pStyle w:val="ListParagraph"/>
        <w:numPr>
          <w:ilvl w:val="0"/>
          <w:numId w:val="2"/>
        </w:numPr>
        <w:spacing w:after="90"/>
      </w:pPr>
      <w:r>
        <w:t xml:space="preserve">Phase two (months 6–18): deepen agent reasoning; extend goal templates; bring the central brain's user-benefit function online as data accumulates; begin sector insights; mature the catalog; run funder-side research in parallel.</w:t>
      </w:r>
    </w:p>
    <w:p>
      <w:pPr>
        <w:pStyle w:val="ListParagraph"/>
        <w:numPr>
          <w:ilvl w:val="0"/>
          <w:numId w:val="2"/>
        </w:numPr>
        <w:spacing w:after="90"/>
      </w:pPr>
      <w:r>
        <w:t xml:space="preserve">Phase three (months 18+): launch the funder-side product and the institutional intelligence layer, building on accumulated data and trust.</w:t>
      </w:r>
    </w:p>
    <w:p>
      <w:pPr>
        <w:spacing w:after="140" w:before="0"/>
      </w:pPr>
      <w:r>
        <w:t xml:space="preserve">v1 lays foundations the rest depends on. Get it right and the rest follows.</w:t>
      </w:r>
    </w:p>
    <w:p>
      <w:pPr>
        <w:pageBreakBefore/>
      </w:pPr>
      <w:r>
        <w:br/>
        <w:t xml:space="preserve"/>
      </w:r>
    </w:p>
    <w:p>
      <w:pPr>
        <w:pStyle w:val="Heading1"/>
        <w:spacing w:after="160" w:before="360"/>
      </w:pPr>
      <w:r>
        <w:t xml:space="preserve">How the compounding works</w:t>
      </w:r>
    </w:p>
    <w:p>
      <w:pPr>
        <w:spacing w:after="140" w:before="0"/>
      </w:pPr>
      <w:r>
        <w:t xml:space="preserve">The defensibility claim above rests on compounding. This section sets out the mechanism concretely, because “one agent across the journey” and “a central brain” are easy to assert and only meaningful if the actual workings hold up. There are two distinct layers of compounding, stacked on top of each other.</w:t>
      </w:r>
    </w:p>
    <w:p>
      <w:pPr>
        <w:pStyle w:val="Heading2"/>
        <w:spacing w:after="120" w:before="280"/>
      </w:pPr>
      <w:r>
        <w:t xml:space="preserve">The foundation: one persistent org model</w:t>
      </w:r>
    </w:p>
    <w:p>
      <w:pPr>
        <w:spacing w:after="140" w:before="0"/>
      </w:pPr>
      <w:r>
        <w:t xml:space="preserve">Everything rests on a single persistent model of the organisation — its goal, context (programmes, capacity, history, constraints), pipeline state, funder relationships, and learned preferences. Every layer of the product reads from and writes to this same model. That shared, persistent understanding — not the interface — is what makes this one agent rather than several tools with AI added. It is the core architectural commitment, and it is the prerequisite for both layers of compounding below.</w:t>
      </w:r>
    </w:p>
    <w:p>
      <w:pPr>
        <w:pStyle w:val="Heading2"/>
        <w:spacing w:after="120" w:before="280"/>
      </w:pPr>
      <w:r>
        <w:t xml:space="preserve">First compounding layer: within the organisation</w:t>
      </w:r>
    </w:p>
    <w:p>
      <w:pPr>
        <w:spacing w:after="140" w:before="0"/>
      </w:pPr>
      <w:r>
        <w:t xml:space="preserve">Each capability is made easier not just by AI assistance, but because the agent carries context from every other capability. The layers compound for the single organisation:</w:t>
      </w:r>
    </w:p>
    <w:p>
      <w:pPr>
        <w:pStyle w:val="ListParagraph"/>
        <w:numPr>
          <w:ilvl w:val="0"/>
          <w:numId w:val="2"/>
        </w:numPr>
        <w:spacing w:after="90"/>
      </w:pPr>
      <w:r>
        <w:t xml:space="preserve">Discovery is triaged against the goal — the agent collapses a long match list into the few that move this org's plan, with reasoning, removing the per-opportunity research that wastes users' time.</w:t>
      </w:r>
    </w:p>
    <w:p>
      <w:pPr>
        <w:pStyle w:val="ListParagraph"/>
        <w:numPr>
          <w:ilvl w:val="0"/>
          <w:numId w:val="2"/>
        </w:numPr>
        <w:spacing w:after="90"/>
      </w:pPr>
      <w:r>
        <w:t xml:space="preserve">Eligibility is pre-checked against verified data — the agent surfaces an audit-grade verdict with its source, removing the manual criteria-checking that users repeatedly name as their biggest time sink.</w:t>
      </w:r>
    </w:p>
    <w:p>
      <w:pPr>
        <w:pStyle w:val="ListParagraph"/>
        <w:numPr>
          <w:ilvl w:val="0"/>
          <w:numId w:val="2"/>
        </w:numPr>
        <w:spacing w:after="90"/>
      </w:pPr>
      <w:r>
        <w:t xml:space="preserve">The plan is held continuously — the agent keeps the whole campaign in view (sequence, pace, gap, mix), so the user doesn't rebuild “where am I and what's next” each time they sit down.</w:t>
      </w:r>
    </w:p>
    <w:p>
      <w:pPr>
        <w:pStyle w:val="ListParagraph"/>
        <w:numPr>
          <w:ilvl w:val="0"/>
          <w:numId w:val="2"/>
        </w:numPr>
        <w:spacing w:after="90"/>
      </w:pPr>
      <w:r>
        <w:t xml:space="preserve">The pipeline is watched proactively — the agent tracks every application's stage and reaches out about what needs attention, turning passive tracking into active, reasoned attention-direction.</w:t>
      </w:r>
    </w:p>
    <w:p>
      <w:pPr>
        <w:pStyle w:val="ListParagraph"/>
        <w:numPr>
          <w:ilvl w:val="0"/>
          <w:numId w:val="2"/>
        </w:numPr>
        <w:spacing w:after="90"/>
      </w:pPr>
      <w:r>
        <w:t xml:space="preserve">Applications are drafted with funder-knowledge and history — the agent already holds the structured, verified funder context users currently assemble by hand to feed generic AI, and shapes a strong base case to each funder's known priorities, in the user's authentic voice.</w:t>
      </w:r>
    </w:p>
    <w:p>
      <w:pPr>
        <w:pStyle w:val="ListParagraph"/>
        <w:numPr>
          <w:ilvl w:val="0"/>
          <w:numId w:val="2"/>
        </w:numPr>
        <w:spacing w:after="90"/>
      </w:pPr>
      <w:r>
        <w:t xml:space="preserve">Relationships are remembered — the agent is the institutional memory (what was applied for, outcomes, reporting deadlines, when last engaged), which in turn makes every other layer smarter.</w:t>
      </w:r>
    </w:p>
    <w:p>
      <w:pPr>
        <w:spacing w:after="140" w:before="0"/>
      </w:pPr>
      <w:r>
        <w:t xml:space="preserve">The point is the compounding: the application draft is better because the agent knows the funder (eligibility layer) and the org's history (relationship layer); the coordination is strategic because the same agent holds the goal; the proactive email draws on discovery, eligibility, strategy and goal at once. The user experiences one colleague across the whole journey, not several tools — and because errors compound as well as value, this is only as good as the accuracy of the underlying data and the reliability of the persistent model.</w:t>
      </w:r>
    </w:p>
    <w:p>
      <w:pPr>
        <w:pStyle w:val="Heading2"/>
        <w:spacing w:after="120" w:before="280"/>
      </w:pPr>
      <w:r>
        <w:t xml:space="preserve">Second compounding layer: across all organisations — the central brain</w:t>
      </w:r>
    </w:p>
    <w:p>
      <w:pPr>
        <w:spacing w:after="140" w:before="0"/>
      </w:pPr>
      <w:r>
        <w:t xml:space="preserve">The first layer makes one agent smarter about one organisation (personalisation). The central brain makes every agent smarter about how fundraising actually works, by learning patterns across all organisations and all observed outcomes on the platform (collective intelligence). The two stack: the brain gives every agent a better baseline understanding of the funding landscape, and the within-org learning tailors that baseline to the specific organisation. The non-negotiable constraint that makes this usable is that the brain learns patterns, never playbooks — it never moves one organisation's competitive specifics to another. Everything below is aggregate, anonymised, pattern-level learning.</w:t>
      </w:r>
    </w:p>
    <w:p>
      <w:pPr>
        <w:pStyle w:val="ListParagraph"/>
        <w:numPr>
          <w:ilvl w:val="0"/>
          <w:numId w:val="2"/>
        </w:numPr>
        <w:spacing w:after="90"/>
      </w:pPr>
      <w:r>
        <w:t xml:space="preserve">Matching gets calibrated against reality — the brain learns, from real observed activity, which kinds of funders organisations like this one actually pursue and win, improving the baseline beyond rule-based scoring. A genuine network effect: each new organisation's activity sharpens every other's matching.</w:t>
      </w:r>
    </w:p>
    <w:p>
      <w:pPr>
        <w:pStyle w:val="ListParagraph"/>
        <w:numPr>
          <w:ilvl w:val="0"/>
          <w:numId w:val="2"/>
        </w:numPr>
        <w:spacing w:after="90"/>
      </w:pPr>
      <w:r>
        <w:t xml:space="preserve">Eligibility gains the funder's-eye view — the brain surfaces patterns no single applicant could see (e.g. orgs formally eligible here rarely succeed, this funder appears to favour X), turning the aggregate experience of all applicants into intelligence each one lacks. This directly rebalances the information asymmetry the strategy exists to address: funders see thousands of applications; any one charity sees a handful.</w:t>
      </w:r>
    </w:p>
    <w:p>
      <w:pPr>
        <w:pStyle w:val="ListParagraph"/>
        <w:numPr>
          <w:ilvl w:val="0"/>
          <w:numId w:val="2"/>
        </w:numPr>
        <w:spacing w:after="90"/>
      </w:pPr>
      <w:r>
        <w:t xml:space="preserve">Strategic reasoning becomes evidence-based — the brain learns which sequences and strategies actually led to organisations hitting their goals, so sequencing advice stops being plausible theory and becomes grounded in what demonstrably worked for similar journeys. This is the career-long pattern-knowledge of a human consultant, accumulated and applied at scale.</w:t>
      </w:r>
    </w:p>
    <w:p>
      <w:pPr>
        <w:pStyle w:val="ListParagraph"/>
        <w:numPr>
          <w:ilvl w:val="0"/>
          <w:numId w:val="2"/>
        </w:numPr>
        <w:spacing w:after="90"/>
      </w:pPr>
      <w:r>
        <w:t xml:space="preserve">Application guidance learns what funders respond to — the brain learns, from outcomes, which framings and emphases tend to land with particular funder types (patterns), directly addressing the “what does each funder want to hear” pain. It must never copy one org's winning application to another — that line is the difference between rebalancing information asymmetry and enabling plagiarism, and it is what keeps the whole thing trustworthy.</w:t>
      </w:r>
    </w:p>
    <w:p>
      <w:pPr>
        <w:pStyle w:val="ListParagraph"/>
        <w:numPr>
          <w:ilvl w:val="0"/>
          <w:numId w:val="2"/>
        </w:numPr>
        <w:spacing w:after="90"/>
      </w:pPr>
      <w:r>
        <w:t xml:space="preserve">Coordination gains realistic benchmarks — the brain learns typical decision timelines and success rates, so the agent's pacing judgement is calibrated against what is realistic for organisations like this one rather than abstract calculation.</w:t>
      </w:r>
    </w:p>
    <w:p>
      <w:pPr>
        <w:spacing w:after="140" w:before="0"/>
      </w:pPr>
      <w:r>
        <w:t xml:space="preserve">Beyond making the individual agents smarter, the accumulated intelligence unlocks two further levels, in the deliberate ethical order set out earlier. The sector layer: genuine, published insight about the UK funding landscape that helps the whole sector navigate a previously opaque picture and establishes Grant Tracker as the authoritative source of funding intelligence — a public good that is also a powerful trust and acquisition asset. The funder-side layer (phase three): the intelligence, with explicit consent and designed to be pro-sector (directing money to genuine need, not giving institutions leverage over applicants), becomes a commercial product — earned only by having first served users and the sector well.</w:t>
      </w:r>
    </w:p>
    <w:p>
      <w:pPr>
        <w:pStyle w:val="Heading2"/>
        <w:spacing w:after="120" w:before="280"/>
      </w:pPr>
      <w:r>
        <w:t xml:space="preserve">Why the ethical ordering is the mechanism, not just the principle</w:t>
      </w:r>
    </w:p>
    <w:p>
      <w:pPr>
        <w:spacing w:after="140" w:before="0"/>
      </w:pPr>
      <w:r>
        <w:t xml:space="preserve">Users-first, sector-second, institutions-third is not only an ethical stance; it is what makes the compounding possible at all. The brain only accumulates if users contribute their activity, and they will only do that if they trust it benefits them and never betrays them — no playbooks shared between competitors, real anonymisation for a small sector, visible collective benefit, and transparency about what is captured. Trust is therefore the input to the compounding: the discipline is what keeps the data flowing, which powers the network effect, which builds the moat. Lead with funder products or cross-pollinate competitive specifics, and users stop trusting the system, stop contributing, and the brain starves. The ethics and the economics are the same thing — which is why the visible, editable “here is what I have learned about you” design is a first-class feature, not a courtesy: it is the consent-and-transparency foundation that keeps users willing to feed the brain.</w:t>
      </w:r>
    </w:p>
    <w:p>
      <w:pPr>
        <w:pStyle w:val="Heading2"/>
        <w:spacing w:after="120" w:before="280"/>
      </w:pPr>
      <w:r>
        <w:t xml:space="preserve">The full stack, and what it means for v1</w:t>
      </w:r>
    </w:p>
    <w:p>
      <w:pPr>
        <w:spacing w:after="140" w:before="0"/>
      </w:pPr>
      <w:r>
        <w:t xml:space="preserve">The complete picture, layered: fast deterministic engines (matching, eligibility) give a verified, cheap, trustworthy baseline; the within-org agent compounds context across layers for one organisation; the central brain compounds intelligence across all organisations; and the whole improves continuously in a way that cannot be shortcut, because it is grounded in accumulated real activity that only accrues through trusted use. Generic AI cannot match this (it has no verified outcome data), and discrete-tool competitors cannot (they share no brain and observe no cross-organisation activity). That compounding loop — not the agent reasoning, which commoditises, nor the matching, which is largely structured filtering — is the durable moat.</w:t>
      </w:r>
    </w:p>
    <w:p>
      <w:pPr>
        <w:spacing w:after="140" w:before="0"/>
      </w:pPr>
      <w:r>
        <w:rPr>
          <w:i/>
          <w:iCs/>
        </w:rPr>
        <w:t xml:space="preserve">The honest caveat: the central brain is the furthest-off and least-proven part. Its value rests on an assumption — that cross-organisation patterns are rich and useful enough to materially improve individual agents — that cannot be validated until meaningful data has accumulated. It is therefore the most compelling and the most hypothetical part of the vision at once. v1 does not build it. v1's job is to capture the data foundations and the consent framework cleanly, so the brain can begin accumulating correctly from the very first user. This is precisely why the unglamorous data-capture-and-consent work in v1 matters more than any single feature: get it right, and the compounding starts quietly from day one; get it wrong, and it cannot be retrofitted later.</w:t>
      </w:r>
    </w:p>
    <w:p>
      <w:pPr>
        <w:pageBreakBefore/>
      </w:pPr>
      <w:r>
        <w:br/>
        <w:t xml:space="preserve"/>
      </w:r>
    </w:p>
    <w:p>
      <w:pPr>
        <w:pStyle w:val="Heading1"/>
        <w:spacing w:after="160" w:before="360"/>
      </w:pPr>
      <w:r>
        <w:t xml:space="preserve">Part two: the v1 product</w:t>
      </w:r>
    </w:p>
    <w:p>
      <w:pPr>
        <w:pStyle w:val="Heading2"/>
        <w:spacing w:after="120" w:before="280"/>
      </w:pPr>
      <w:r>
        <w:t xml:space="preserve">Primary user</w:t>
      </w:r>
    </w:p>
    <w:p>
      <w:pPr>
        <w:spacing w:after="140" w:before="0"/>
      </w:pPr>
      <w:r>
        <w:t xml:space="preserve">A UK charity or CIC, typically £100k–£2m turnover, with a 6–18 month fundraising goal requiring a mix of grants, social investment, contracts, and partnerships. The user runs fundraising inside the org — CEO, fundraising lead, or part-time consultant. Sophisticated enough to articulate a plan, stretched thin enough to need help executing it. The framing has been validated in conversation with at least one user in this segment (see evidence log).</w:t>
      </w:r>
    </w:p>
    <w:p>
      <w:pPr>
        <w:pStyle w:val="Heading2"/>
        <w:spacing w:after="120" w:before="280"/>
      </w:pPr>
      <w:r>
        <w:t xml:space="preserve">What the agent does</w:t>
      </w:r>
    </w:p>
    <w:p>
      <w:pPr>
        <w:spacing w:after="140" w:before="0"/>
      </w:pPr>
      <w:r>
        <w:t xml:space="preserve">It operates against a defined goal as its compass — target, timeline, mix across income types, programmes the funding supports, milestones, and constraints around what the org will and won't take money for. It reasons against this continuously rather than treating each query as fresh.</w:t>
      </w:r>
    </w:p>
    <w:p>
      <w:pPr>
        <w:spacing w:after="140" w:before="0"/>
      </w:pPr>
      <w:r>
        <w:t xml:space="preserve">It draws on the org's context (programmes, capacity, pipeline, history) and the funding landscape (grants, social investment, contracts, partnerships), reasoning across both in service of the goal.</w:t>
      </w:r>
    </w:p>
    <w:p>
      <w:pPr>
        <w:spacing w:after="140" w:before="0"/>
      </w:pPr>
      <w:r>
        <w:t xml:space="preserve">It surfaces prioritised actions with explicit reasoning, not just opportunities. Every recommendation carries two-to-three scannable sentences explaining specifically why it matters for this org's goal. Without that reasoning, the user has to research each suggestion themselves — which is exactly the time-wasting problem the agent exists to solve. The reasoning surface is the difference between a database and an agent, and it is a primary v1 design priority.</w:t>
      </w:r>
    </w:p>
    <w:p>
      <w:pPr>
        <w:spacing w:after="140" w:before="0"/>
      </w:pPr>
      <w:r>
        <w:t xml:space="preserve">It thinks about strategic sequencing — pursue a smaller opportunity first to build credibility for a larger one, secure unrestricted income before restricted, and so on. This is how experienced fundraisers think and what they value when surfaced automatically.</w:t>
      </w:r>
    </w:p>
    <w:p>
      <w:pPr>
        <w:spacing w:after="140" w:before="0"/>
      </w:pPr>
      <w:r>
        <w:t xml:space="preserve">It verifies what it surfaces. Every claim — deadline, eligibility, fit reasoning — is backed by a verified source the user can audit. Hidden eligibility requirements (revenue minimums, operating history, geographic constraints, exclusions) are first-class fields.</w:t>
      </w:r>
    </w:p>
    <w:p>
      <w:pPr>
        <w:spacing w:after="140" w:before="0"/>
      </w:pPr>
      <w:r>
        <w:t xml:space="preserve">It distinguishes confident recommendations from strategic reasoning. Confident, actionable recommendations are grounded in verified data ("this is open, you're eligible, here's the deadline, here's the direct link"). Strategic reasoning that draws on wider context is held to a transparency standard, not a verification standard, and clearly marked as reasoning rather than fact ("here's a pattern worth considering," "here's a development worth watching"). The agent is always honest about which is which. This is how a good consultant works — firm on facts, transparent on judgment — and it is what lets the agent be both rich and trustworthy.</w:t>
      </w:r>
    </w:p>
    <w:p>
      <w:pPr>
        <w:spacing w:after="140" w:before="0"/>
      </w:pPr>
      <w:r>
        <w:t xml:space="preserve">It adapts as reality shifts. The plan is a living conversation, not a fixed document. The agent expects change, prompts for revision when reality diverges from intent, and flags emerging risks.</w:t>
      </w:r>
    </w:p>
    <w:p>
      <w:pPr>
        <w:pStyle w:val="Heading2"/>
        <w:spacing w:after="120" w:before="280"/>
      </w:pPr>
      <w:r>
        <w:t xml:space="preserve">The collaborative feedback loop</w:t>
      </w:r>
    </w:p>
    <w:p>
      <w:pPr>
        <w:spacing w:after="140" w:before="0"/>
      </w:pPr>
      <w:r>
        <w:t xml:space="preserve">The agent is a collaborative partner, not an oracle. This is core to v1, not peripheral.</w:t>
      </w:r>
    </w:p>
    <w:p>
      <w:pPr>
        <w:spacing w:after="140" w:before="0"/>
      </w:pPr>
      <w:r>
        <w:t xml:space="preserve">Users can challenge its reasoning ("why this?"), correct its understanding of the org, add context it couldn't have (existing relationships, past rejections, strategic constraints), quiz it to sharpen their own thinking, and shape how it works for them over time. Feedback updates the agent's persistent model of the organisation, so corrections and additions carry forward rather than evaporating.</w:t>
      </w:r>
    </w:p>
    <w:p>
      <w:pPr>
        <w:spacing w:after="140" w:before="0"/>
      </w:pPr>
      <w:r>
        <w:t xml:space="preserve">The agent visibly acts on feedback and confirms what changed. It can explain its reasoning at the depth the user wants to interrogate. It can hold honest disagreement — respecting a user's decision while noting its own view. And it can ask for feedback proactively at low-confidence moments.</w:t>
      </w:r>
    </w:p>
    <w:p>
      <w:pPr>
        <w:spacing w:after="140" w:before="0"/>
      </w:pPr>
      <w:r>
        <w:t xml:space="preserve">This loop does three things at once: it makes each agent increasingly tailored and trusted (per-org learning), it feeds the central brain over time (platform learning, with strict privacy discipline), and it is the single best source of product insight in the early months. The collaborative loop is both what makes the agent genuinely useful and what creates the compounding personalisation generic AI cannot replicate.</w:t>
      </w:r>
    </w:p>
    <w:p>
      <w:pPr>
        <w:pStyle w:val="Heading2"/>
        <w:spacing w:after="120" w:before="280"/>
      </w:pPr>
      <w:r>
        <w:t xml:space="preserve">The interaction model</w:t>
      </w:r>
    </w:p>
    <w:p>
      <w:pPr>
        <w:spacing w:after="140" w:before="0"/>
      </w:pPr>
      <w:r>
        <w:t xml:space="preserve">One agent, multiple surfaces, one persistent org model. Whether the user interacts via email, app, or Claude, they are talking to the same agent with the same memory and understanding. The persistent org model is the single source of truth every surface reads from and writes to — this consistency is a core architectural commitment, not an emergent property.</w:t>
      </w:r>
    </w:p>
    <w:p>
      <w:pPr>
        <w:pStyle w:val="ListParagraph"/>
        <w:numPr>
          <w:ilvl w:val="0"/>
          <w:numId w:val="2"/>
        </w:numPr>
        <w:spacing w:after="90"/>
      </w:pPr>
      <w:r>
        <w:t xml:space="preserve">Email is the proactive reach-out layer. Selective, high-quality, source-cited, actionable. Most users experience the agent here first because it requires no behaviour change and meets the accessibility requirement. Lightweight feedback actions keep the loop alive for users who never log in.</w:t>
      </w:r>
    </w:p>
    <w:p>
      <w:pPr>
        <w:pStyle w:val="ListParagraph"/>
        <w:numPr>
          <w:ilvl w:val="0"/>
          <w:numId w:val="2"/>
        </w:numPr>
        <w:spacing w:after="90"/>
      </w:pPr>
      <w:r>
        <w:t xml:space="preserve">The app is the engagement and depth layer. Dashboard plus a conversational agent interface where rich interaction and the deep feedback loop live. Users come here when an email prompts them or when they want focused fundraising work.</w:t>
      </w:r>
    </w:p>
    <w:p>
      <w:pPr>
        <w:pStyle w:val="ListParagraph"/>
        <w:numPr>
          <w:ilvl w:val="0"/>
          <w:numId w:val="2"/>
        </w:numPr>
        <w:spacing w:after="90"/>
      </w:pPr>
      <w:r>
        <w:t xml:space="preserve">The MCP in Claude is the power-user and future layer. Users who work in Claude interact with their agent conversationally without logging into anything — the most responsive, frictionless surface available. At launch it serves sophisticated users; over two years it potentially becomes primary. It is also the primary marketing funnel: positioned in the Claude directory, it reaches users already doing AI-assisted grant discovery and acknowledging its limitations.</w:t>
      </w:r>
    </w:p>
    <w:p>
      <w:pPr>
        <w:spacing w:after="140" w:before="0"/>
      </w:pPr>
      <w:r>
        <w:t xml:space="preserve">Each surface does what it is best at; the consistent agent underneath is what makes it feel easy, accessible, and responsive — not by being one perfect surface, but by meeting the user wherever they are.</w:t>
      </w:r>
    </w:p>
    <w:p>
      <w:pPr>
        <w:pStyle w:val="Heading2"/>
        <w:spacing w:after="120" w:before="280"/>
      </w:pPr>
      <w:r>
        <w:t xml:space="preserve">Simplicity and ease of use as a design principle</w:t>
      </w:r>
    </w:p>
    <w:p>
      <w:pPr>
        <w:spacing w:after="140" w:before="0"/>
      </w:pPr>
      <w:r>
        <w:t xml:space="preserve">Adoption and retention in this sector depend on the product being genuinely easy to pick up and use, not just feature-rich. This is a first-class principle, not a polish-it-later concern, because the sector's users are time-poor and often not technical, and a tool that demands effort to learn will not be adopted however capable it is.</w:t>
      </w:r>
    </w:p>
    <w:p>
      <w:pPr>
        <w:spacing w:after="140" w:before="0"/>
      </w:pPr>
      <w:r>
        <w:t xml:space="preserve">The failure mode to avoid was observed directly in a competitor (Kindora, a US grant platform with an MCP): a product with many features that compete against each other, where the volume and disconnectedness of capabilities create complexity rather than value. Every feature added without integration is a tax on the user's attention. The discipline is the opposite: every feature should relate to and reinforce the others, and earn its place by being useful within the connected whole. This is the practical, user-facing expression of the convergence principle — the agent is what makes the features cohere rather than compete, so the user experiences one intelligent companion, not a control panel of disconnected tools.</w:t>
      </w:r>
    </w:p>
    <w:p>
      <w:pPr>
        <w:spacing w:after="140" w:before="0"/>
      </w:pPr>
      <w:r>
        <w:t xml:space="preserve">Concretely: lead with the few things that matter (the goal, what to do next), reveal depth progressively rather than all at once, keep the home surface a reasoned view rather than a dense dashboard, and resist the pull to add capabilities that don't connect to the goal-driven core. A smaller set of features that all relate and all feel useful beats a larger set that competes for attention. Simplicity is not the absence of capability; it is capability that coheres.</w:t>
      </w:r>
    </w:p>
    <w:p>
      <w:pPr>
        <w:pStyle w:val="Heading2"/>
        <w:spacing w:after="120" w:before="280"/>
      </w:pPr>
      <w:r>
        <w:t xml:space="preserve">The agent must reduce load, not generate it</w:t>
      </w:r>
    </w:p>
    <w:p>
      <w:pPr>
        <w:spacing w:after="140" w:before="0"/>
      </w:pPr>
      <w:r>
        <w:t xml:space="preserve">A first-class design principle, surfaced directly by cohort feedback (Jen, 3 June). The core users are capacity-constrained and at risk of burnout; AI has already become indispensable to them largely because of rising output expectations, and more AI can make that worse, not better. An agent that surfaces more opportunities, more recommendations and more proactive nudges could, for an already-overloaded fundraiser, ADD to the firefighting rather than relieve it — becoming one more thing generating outputs they feel they must act on. The proactive layer is the sharpest risk here: done well it is the companion's biggest strength; done as low-signal noise it is actively harmful to an overloaded user's working state, not merely ignorable.</w:t>
      </w:r>
    </w:p>
    <w:p>
      <w:pPr>
        <w:spacing w:after="140" w:before="0"/>
      </w:pPr>
      <w:r>
        <w:t xml:space="preserve">So the discipline: the agent must be targeted (surface the few things that matter, not flood with possibilities), the proactive layer must clear a high signal bar (worth opening, every time), and the framing must be that the agent lets the user do LESS firefighting and MORE of the strategic work they can't get to — not that it lets them do more overall. This is the difference between the agent a stretched fundraiser would value and the one they would resent. It connects to the trust bar (Jen: she'd want it “if it worked well and you could trust it 100%”) — load-reduction and trustworthiness together are what make it relief rather than pressure.</w:t>
      </w:r>
    </w:p>
    <w:p>
      <w:pPr>
        <w:pStyle w:val="Heading2"/>
        <w:spacing w:after="120" w:before="280"/>
      </w:pPr>
      <w:r>
        <w:t xml:space="preserve">Value before effort; context accrued through use, not extracted upfront</w:t>
      </w:r>
    </w:p>
    <w:p>
      <w:pPr>
        <w:spacing w:after="140" w:before="0"/>
      </w:pPr>
      <w:r>
        <w:t xml:space="preserve">The core users are time-poor, and the highest-need ones have the least capacity to onboard (the onboarding-capacity barrier seen with Olympias, and Philomina's reluctance to even move existing data in). So any step that asks for significant upfront effort before delivering value will lose exactly the users it's meant to help. This is the structural trap in the reverse-marketplace model (Raiser): a rich impact profile is high upfront effort for an uncertain, delayed, out-of-the-user's-control payoff — the worst effort-to-value ratio for a stretched charity, and a double cold-start (charities won't populate without funders; funders won't come without populated charities).</w:t>
      </w:r>
    </w:p>
    <w:p>
      <w:pPr>
        <w:spacing w:after="140" w:before="0"/>
      </w:pPr>
      <w:r>
        <w:t xml:space="preserve">Grant Tracker's structural advantage is the opposite: it can show genuine value on minimal input, because the agent reasons over a catalogue that already exists — a light profile produces real matches immediately. The discipline is to protect that. Onboarding (the goal wizard, strategy upload, context-gathering) must manifest value on almost nothing and then earn each further piece of context by having already been useful — never a large upfront ask ahead of the payoff, or the agent imports the reverse-marketplace trap in miniature. The richer context that powers the agent (and the eventual living impact asset) should be ACCRUED THROUGH USE, not extracted upfront: every saved opportunity, drafted application and agent correction enriches the org model in the background. The application builder is the clearest case — the user writes an application because they need to, and in doing so the reusable impact story gets richer, so the next one is easier. Value and accrual in the same motion. The living impact profile (the genuinely good idea borrowed from Raiser) is a destination to compound toward, never a form to fill in first.</w:t>
      </w:r>
    </w:p>
    <w:p>
      <w:pPr>
        <w:pStyle w:val="Heading2"/>
        <w:spacing w:after="120" w:before="280"/>
      </w:pPr>
      <w:r>
        <w:t xml:space="preserve">The aspiration: a consultant's analytical layer, democratised — and its honest boundary</w:t>
      </w:r>
    </w:p>
    <w:p>
      <w:pPr>
        <w:spacing w:after="140" w:before="0"/>
      </w:pPr>
      <w:r>
        <w:t xml:space="preserve">A quality north star, drawn from studying the UK fundraising-consultancy market (Eastside People and the wider field: Compton, Wootton George, Abbey/ASI, Felton, Charity Fundraising Ltd). Across every tier, consultants sell the same spine: fundraising audit and strategy, prospect research, bid writing and critical review, income-source review and diversification, and mentoring/upskilling. That spine is almost exactly what the agent is built to do — so the agent's aspiration is to deliver advice of that calibre and breadth. A good internal test for any recommendation: would a senior fundraising consultant agree with this? The MCP captures suggest the analytical layer is reachable.</w:t>
      </w:r>
    </w:p>
    <w:p>
      <w:pPr>
        <w:spacing w:after="140" w:before="0"/>
      </w:pPr>
      <w:r>
        <w:t xml:space="preserve">The boundary is the other half of the discipline. Much of a consultancy's value is irreducibly human: interim placement, executive and board recruitment, major-donor and capital-campaign cultivation, warm relationship introductions, facilitating delicate conversations, and the credibility a funder's due diligence wants from a named senior person. The agent must NOT claim these. It aspires to the advisory and analytical layer (the thinking), not the hands-on delivery, relational cultivation or human-capital layer (the doing and the trust-in-the-room). Overclaiming “AI replaces your fundraising consultant” would be untrue and a trust risk in a wary sector. The credible, stronger framing is narrower: the thinking of a good fundraising adviser, always on, for the orgs priced out of consultancy entirely.</w:t>
      </w:r>
    </w:p>
    <w:p>
      <w:pPr>
        <w:spacing w:after="140" w:before="0"/>
      </w:pPr>
      <w:r>
        <w:t xml:space="preserve">This sharpens three things. (1) The pricing anchor, now quantified: consultant day rates run roughly £200–300 (freelance/newer) to £1,000–2,000 (specialist agencies), plus VAT; a retained freelancer is £2,000–3,000/month; a strategy project, thousands to tens of thousands. The Companion (~£65–95/mo) and Apply tier (~£25–30/mo) are one to a few percent of that — an overwhelming value story for the analytical layer, with the honest caveat that the sector's headline ROI (one firm cites £14 per £1 vs a sector benchmark of £4.21) comes substantially from the doing, so the agent democratises the thinking, not the execution. (2) The mission framing: this whole market serves organisations that can afford it; the majority of the sector is priced out. The agent's purpose is to bring the profession's analytical spine to the orgs that will never hire any of these firms. (3) The credibility metric: every consultancy proves itself in pounds raised. The agent's eventual proof, and the central brain's outcome data, is funding won by its users — worth capturing from the first user.</w:t>
      </w:r>
    </w:p>
    <w:p>
      <w:pPr>
        <w:spacing w:after="140" w:before="0"/>
      </w:pPr>
      <w:r>
        <w:t xml:space="preserve">One interaction lesson from the same study: clients repeatedly prize the consultant's “kind challenge” — constructive push-back and reassurance, not just answers. The agent's collaborative loop should offer the same: a good adviser challenges constructively (and invites being challenged), rather than a tool that only complies. This reinforces the interaction model below and Jen's wish to challenge the agent and be challenged in return.</w:t>
      </w:r>
    </w:p>
    <w:p>
      <w:pPr>
        <w:pStyle w:val="Heading2"/>
        <w:spacing w:after="120" w:before="280"/>
      </w:pPr>
      <w:r>
        <w:t xml:space="preserve">The interaction model — conversation grounded in structure</w:t>
      </w:r>
    </w:p>
    <w:p>
      <w:pPr>
        <w:spacing w:after="140" w:before="0"/>
      </w:pPr>
      <w:r>
        <w:t xml:space="preserve">Users increasingly arrive expecting a Claude-like conversational experience, which is both an asset (low learning curve, familiar interaction) and a trap (a bare chat box competes with general-purpose AI on its home turf and discards the structure and verified data that differentiate Grant Tracker). The resolution is conversation grounded in structure: the primary app surface is the structured, persistent, visual product (goal dashboard, verified opportunities, pipeline), with conversation woven in everywhere — every recommendation challengeable in context. Claude chat is conversation without structure; traditional SaaS is structure without conversation; the agent is conversation grounded in structure, which is what neither alternative offers. The MCP is the deliberately chat-first surface for users who prefer to lead with conversation, so the app itself need not be chat-first. The agent also handles off-goal requests gracefully (equipment, capacity-building, side projects): the goal is the default lens and the persistent context that makes every answer smarter, never a cage — off-goal questions are answered fully using the same verified machinery, plus the goal-aware judgment that relates them back and flags trade-offs.</w:t>
      </w:r>
    </w:p>
    <w:p>
      <w:pPr>
        <w:pStyle w:val="Heading2"/>
        <w:spacing w:after="120" w:before="280"/>
      </w:pPr>
      <w:r>
        <w:t xml:space="preserve">Onboarding</w:t>
      </w:r>
    </w:p>
    <w:p>
      <w:pPr>
        <w:spacing w:after="140" w:before="0"/>
      </w:pPr>
      <w:r>
        <w:t xml:space="preserve">Two paths converging on the same structured goal. A 10-minute wizard (target, timeline, current secured income, programmes, rough mix targets, constraints). Or a strategy upload (PDF, Word, pasted text) — the agent extracts the goal data, pre-fills the wizard fields with audit-grade citations to source documents, and the user reviews and edits. The upload path is a launch feature, not a hidden option; "upload your strategy and the agent gets to work" is a stronger demo than a form.</w:t>
      </w:r>
    </w:p>
    <w:p>
      <w:pPr>
        <w:spacing w:after="140" w:before="0"/>
      </w:pPr>
      <w:r>
        <w:t xml:space="preserve">Onboarding is progressive — minimum to get started fast, with the agent asking for more context just-in-time as it needs it. This resolves the tension between low setup friction and rich context.</w:t>
      </w:r>
    </w:p>
    <w:p>
      <w:pPr>
        <w:pStyle w:val="Heading2"/>
        <w:spacing w:after="120" w:before="280"/>
      </w:pPr>
      <w:r>
        <w:t xml:space="preserve">What's in v1</w:t>
      </w:r>
    </w:p>
    <w:p>
      <w:pPr>
        <w:spacing w:after="140" w:before="0"/>
      </w:pPr>
      <w:r>
        <w:t xml:space="preserve">The two-path onboarding flow. The agent's reasoning layer (model-tiered architecture, prompt caching, batch processing for cost control) with the reasoning surface and strategic sequencing as priorities. The collaborative feedback loop (scoped v1 version: react to any recommendation conversationally, agent acts visibly, feedback updates the persistent org model, basic constraint-adding, reasoning explainable on request). The dashboard as active workspace (plan vs actual, mix bars with target markers, gap and risk panels, strategy-aligned opportunities with reasoning, milestones, recommended actions). The email digest. Pipeline integration (opportunities become trackable records with history and reasoning). The QC pipeline with three non-negotiable catalog fields: direct programme links, restriction status, hidden eligibility requirements. The MCP, submitted and positioned. And the data-capture and consent foundations that make the central brain possible later.</w:t>
      </w:r>
    </w:p>
    <w:p>
      <w:pPr>
        <w:pStyle w:val="Heading2"/>
        <w:spacing w:after="120" w:before="280"/>
      </w:pPr>
      <w:r>
        <w:t xml:space="preserve">What's deliberately not in v1</w:t>
      </w:r>
    </w:p>
    <w:p>
      <w:pPr>
        <w:pStyle w:val="ListParagraph"/>
        <w:numPr>
          <w:ilvl w:val="0"/>
          <w:numId w:val="2"/>
        </w:numPr>
        <w:spacing w:after="90"/>
      </w:pPr>
      <w:r>
        <w:t xml:space="preserve">Application drafting (v2 — validated as desirable, right to defer).</w:t>
      </w:r>
    </w:p>
    <w:p>
      <w:pPr>
        <w:pStyle w:val="ListParagraph"/>
        <w:numPr>
          <w:ilvl w:val="0"/>
          <w:numId w:val="2"/>
        </w:numPr>
        <w:spacing w:after="90"/>
      </w:pPr>
      <w:r>
        <w:t xml:space="preserve">Multi-channel beyond email/app/MCP.</w:t>
      </w:r>
    </w:p>
    <w:p>
      <w:pPr>
        <w:pStyle w:val="ListParagraph"/>
        <w:numPr>
          <w:ilvl w:val="0"/>
          <w:numId w:val="2"/>
        </w:numPr>
        <w:spacing w:after="90"/>
      </w:pPr>
      <w:r>
        <w:t xml:space="preserve">A general "ask anything" chat interface as primary.</w:t>
      </w:r>
    </w:p>
    <w:p>
      <w:pPr>
        <w:pStyle w:val="ListParagraph"/>
        <w:numPr>
          <w:ilvl w:val="0"/>
          <w:numId w:val="2"/>
        </w:numPr>
        <w:spacing w:after="90"/>
      </w:pPr>
      <w:r>
        <w:t xml:space="preserve">Strategic counterpart capabilities — partnership recommendations, CSR-aligned corporate matching, sector intelligence (v2; architecture leaves room).</w:t>
      </w:r>
    </w:p>
    <w:p>
      <w:pPr>
        <w:pStyle w:val="ListParagraph"/>
        <w:numPr>
          <w:ilvl w:val="0"/>
          <w:numId w:val="2"/>
        </w:numPr>
        <w:spacing w:after="90"/>
      </w:pPr>
      <w:r>
        <w:t xml:space="preserve">The central brain itself (foundations only in v1).</w:t>
      </w:r>
    </w:p>
    <w:p>
      <w:pPr>
        <w:pStyle w:val="ListParagraph"/>
        <w:numPr>
          <w:ilvl w:val="0"/>
          <w:numId w:val="2"/>
        </w:numPr>
        <w:spacing w:after="90"/>
      </w:pPr>
      <w:r>
        <w:t xml:space="preserve">Sector insights publishing (phase two).</w:t>
      </w:r>
    </w:p>
    <w:p>
      <w:pPr>
        <w:pStyle w:val="ListParagraph"/>
        <w:numPr>
          <w:ilvl w:val="0"/>
          <w:numId w:val="2"/>
        </w:numPr>
        <w:spacing w:after="90"/>
      </w:pPr>
      <w:r>
        <w:t xml:space="preserve">Multiple goal templates beyond mixed-income operating fundraising (v1.1/v1.2; architecture supports them).</w:t>
      </w:r>
    </w:p>
    <w:p>
      <w:pPr>
        <w:pStyle w:val="ListParagraph"/>
        <w:numPr>
          <w:ilvl w:val="0"/>
          <w:numId w:val="2"/>
        </w:numPr>
        <w:spacing w:after="90"/>
      </w:pPr>
      <w:r>
        <w:t xml:space="preserve">Investment-focused agent variant (demand confirmed; stays out of v1).</w:t>
      </w:r>
    </w:p>
    <w:p>
      <w:pPr>
        <w:pStyle w:val="ListParagraph"/>
        <w:numPr>
          <w:ilvl w:val="0"/>
          <w:numId w:val="2"/>
        </w:numPr>
        <w:spacing w:after="90"/>
      </w:pPr>
      <w:r>
        <w:t xml:space="preserve">Live user-triggered open-web crawling (backend catalog maintenance only).</w:t>
      </w:r>
    </w:p>
    <w:p>
      <w:pPr>
        <w:pStyle w:val="ListParagraph"/>
        <w:numPr>
          <w:ilvl w:val="0"/>
          <w:numId w:val="2"/>
        </w:numPr>
        <w:spacing w:after="90"/>
      </w:pPr>
      <w:r>
        <w:t xml:space="preserve">The funder-side product (phase three).</w:t>
      </w:r>
    </w:p>
    <w:p>
      <w:pPr>
        <w:pStyle w:val="Heading2"/>
        <w:spacing w:after="120" w:before="280"/>
      </w:pPr>
      <w:r>
        <w:t xml:space="preserve">The competitive position, sharpened</w:t>
      </w:r>
    </w:p>
    <w:p>
      <w:pPr>
        <w:spacing w:after="140" w:before="0"/>
      </w:pPr>
      <w:r>
        <w:t xml:space="preserve">Other platforms suggest opportunities without reasoning, leaving users to spend 20–30 minutes researching each only to discover ineligibility. This is the central pain point the agent solves. The differentiator is not more opportunities or better matching — it is that the user can scan each recommendation in seconds, trust the reasoning enough to act, and not do their own research to verify fit.</w:t>
      </w:r>
    </w:p>
    <w:p>
      <w:pPr>
        <w:spacing w:after="140" w:before="0"/>
      </w:pPr>
      <w:r>
        <w:t xml:space="preserve">Users naturally describe the value as "a digital fundraising consultant" — the strategic reasoning a £500/day human consultant provides, at a price small organisations can afford. That is the positioning.</w:t>
      </w:r>
    </w:p>
    <w:p>
      <w:pPr>
        <w:spacing w:after="140" w:before="0"/>
      </w:pPr>
      <w:r>
        <w:t xml:space="preserve">Against generic AI (Claude, Google's agents), the agent wins not on single-query discovery — which may lose on richness today — but on verification, persistent goal-context, the collaborative loop, and over time the accumulated cross-user intelligence. The honest framing: the agent's confident recommendations are audit-grade where generic AI hallucinates, and its reasoning compounds with the relationship where generic AI is stateless.</w:t>
      </w:r>
    </w:p>
    <w:p>
      <w:pPr>
        <w:pStyle w:val="Heading2"/>
        <w:spacing w:after="120" w:before="280"/>
      </w:pPr>
      <w:r>
        <w:t xml:space="preserve">What makes v1 defensible (and what doesn't)</w:t>
      </w:r>
    </w:p>
    <w:p>
      <w:pPr>
        <w:spacing w:after="140" w:before="0"/>
      </w:pPr>
      <w:r>
        <w:t xml:space="preserve">Defensible: the verified catalog, the persistent goal-context, and — building over time — the accumulated platform data. Not defensible long-term: the agent reasoning itself. The agent is the v1 product that earns adoption and generates data while the deeper moats accumulate. This framing should be held clearly: invest most in catalog quality, data architecture, MCP positioning, and the consent/trust foundations — not in agent reasoning sophistication that competitors will match.</w:t>
      </w:r>
    </w:p>
    <w:p>
      <w:pPr>
        <w:pStyle w:val="Heading2"/>
        <w:spacing w:after="120" w:before="280"/>
      </w:pPr>
      <w:r>
        <w:t xml:space="preserve">What success looks like</w:t>
      </w:r>
    </w:p>
    <w:p>
      <w:pPr>
        <w:spacing w:after="140" w:before="0"/>
      </w:pPr>
      <w:r>
        <w:t xml:space="preserve">By month six post-launch: 100+ paying users on the agent tier, with retention and engagement showing the goal-driven framing delivers value. MCP visible in the Claude directory with measurable usage and a working free-to-paid funnel. Catalog grown meaningfully through the human-in-the-loop pipeline, meeting the three non-negotiable quality fields. Initial funder-side research producing clarity on the phase-three opportunity. Data-capture and consent foundations in place for the central brain.</w:t>
      </w:r>
    </w:p>
    <w:p>
      <w:pPr>
        <w:spacing w:after="140" w:before="0"/>
      </w:pPr>
      <w:r>
        <w:t xml:space="preserve">Leading indicators the framing is landing: users generate strategic sequencing examples unprompted when describing how they'd use it; users compare the agent to a human consultant rather than to software; users explicitly value the reasoning surface as the differentiator.</w:t>
      </w:r>
    </w:p>
    <w:p>
      <w:pPr>
        <w:pageBreakBefore/>
      </w:pPr>
      <w:r>
        <w:br/>
        <w:t xml:space="preserve"/>
      </w:r>
    </w:p>
    <w:p>
      <w:pPr>
        <w:pStyle w:val="Heading1"/>
        <w:spacing w:after="160" w:before="360"/>
      </w:pPr>
      <w:r>
        <w:t xml:space="preserve">Open decisions before detailed build planning</w:t>
      </w:r>
    </w:p>
    <w:p>
      <w:pPr>
        <w:pStyle w:val="ListParagraph"/>
        <w:numPr>
          <w:ilvl w:val="0"/>
          <w:numId w:val="2"/>
        </w:numPr>
        <w:spacing w:after="90"/>
      </w:pPr>
      <w:r>
        <w:t xml:space="preserve">Pricing specifics and tier structure.</w:t>
      </w:r>
    </w:p>
    <w:p>
      <w:pPr>
        <w:pStyle w:val="ListParagraph"/>
        <w:numPr>
          <w:ilvl w:val="0"/>
          <w:numId w:val="2"/>
        </w:numPr>
        <w:spacing w:after="90"/>
      </w:pPr>
      <w:r>
        <w:t xml:space="preserve">Launch sequencing relative to MCP submission (MCP-first is likely, given its funnel role).</w:t>
      </w:r>
    </w:p>
    <w:p>
      <w:pPr>
        <w:pStyle w:val="ListParagraph"/>
        <w:numPr>
          <w:ilvl w:val="0"/>
          <w:numId w:val="2"/>
        </w:numPr>
        <w:spacing w:after="90"/>
      </w:pPr>
      <w:r>
        <w:t xml:space="preserve">Dashboard panel scope for v1 versus v1.1.</w:t>
      </w:r>
    </w:p>
    <w:p>
      <w:pPr>
        <w:pStyle w:val="ListParagraph"/>
        <w:numPr>
          <w:ilvl w:val="0"/>
          <w:numId w:val="2"/>
        </w:numPr>
        <w:spacing w:after="90"/>
      </w:pPr>
      <w:r>
        <w:t xml:space="preserve">Whether to migrate existing users, relaunch, or run parallel during transition.</w:t>
      </w:r>
    </w:p>
    <w:p>
      <w:pPr>
        <w:pStyle w:val="ListParagraph"/>
        <w:numPr>
          <w:ilvl w:val="0"/>
          <w:numId w:val="2"/>
        </w:numPr>
        <w:spacing w:after="90"/>
      </w:pPr>
      <w:r>
        <w:t xml:space="preserve">Team and capacity over the next six months (solo, contractor support, or seeking funding).</w:t>
      </w:r>
    </w:p>
    <w:p>
      <w:pPr>
        <w:pStyle w:val="ListParagraph"/>
        <w:numPr>
          <w:ilvl w:val="0"/>
          <w:numId w:val="2"/>
        </w:numPr>
        <w:spacing w:after="90"/>
      </w:pPr>
      <w:r>
        <w:t xml:space="preserve">How visibly the platform demonstrates strategic-reasoning value in the first session — critical for free-to-paid conversion.</w:t>
      </w:r>
    </w:p>
    <w:p>
      <w:pPr>
        <w:pStyle w:val="Heading1"/>
        <w:spacing w:after="160" w:before="360"/>
      </w:pPr>
      <w:r>
        <w:t xml:space="preserve">Evidence log</w:t>
      </w:r>
    </w:p>
    <w:p>
      <w:pPr>
        <w:pStyle w:val="Heading3"/>
        <w:spacing w:after="100" w:before="220"/>
      </w:pPr>
      <w:r>
        <w:t xml:space="preserve">28 May 2026 — User conversation, David Agar (CIC founder, cohort member)</w:t>
      </w:r>
    </w:p>
    <w:p>
      <w:pPr>
        <w:spacing w:after="140" w:before="0"/>
      </w:pPr>
      <w:r>
        <w:t xml:space="preserve">Confirmed: goal-driven framing communicates clearly and matches how target users think; users generate strategic sequencing examples unprompted; reasoning surface is the differentiator from other platforms; direct programme links and restriction visibility are concrete quality expectations; hidden eligibility gaps in the existing catalog are a credibility risk (specific: Aviva Financial Futures Fund missing £1m minimum revenue requirement); application builder vision (v2) lands strongly with the authenticity-over-AI-generated framing. To validate: actual willingness to pay at proposed pricing; how the framing lands with less sophisticated users; whether catalog gaps are systematic.</w:t>
      </w:r>
    </w:p>
    <w:p>
      <w:pPr>
        <w:pStyle w:val="Heading3"/>
        <w:spacing w:after="100" w:before="220"/>
      </w:pPr>
      <w:r>
        <w:t xml:space="preserve">28 May 2026 — MCP vs Claude comparison test (theatre / young people / Brighton query)</w:t>
      </w:r>
    </w:p>
    <w:p>
      <w:pPr>
        <w:spacing w:after="140" w:before="0"/>
      </w:pPr>
      <w:r>
        <w:t xml:space="preserve">Claude alone returned richer results than the MCP on this niche query. Diagnosis pending fuller testing: likely a mix of catalog depth gaps in niche/regional/arts funding, response-richness framing, and verification filtering that isn't visible in single-query comparison. Action: broader comparison across query types; manual verification of Claude's results to test the verification advantage; sharpen MCP framing toward honesty-about-scope and emphasis-on-verification.</w:t>
      </w:r>
    </w:p>
    <w:p>
      <w:pPr>
        <w:pStyle w:val="Heading3"/>
        <w:spacing w:after="100" w:before="220"/>
      </w:pPr>
      <w:r>
        <w:t xml:space="preserve">28 May 2026 — Competitive intelligence, Grantify (shared by David)</w:t>
      </w:r>
    </w:p>
    <w:p>
      <w:pPr>
        <w:spacing w:after="140" w:before="0"/>
      </w:pPr>
      <w:r>
        <w:t xml:space="preserve">AI funding finder, freemium-into-consultancy model, appears targeted at tech startups pursuing major innovation grants (EIC-scale) — different primary user. Validates that fundraising help is monetisable and that users want strategic guidance, not just matching. Action: proper research before drawing conclusions.</w:t>
      </w:r>
    </w:p>
    <w:p>
      <w:pPr>
        <w:pStyle w:val="Heading3"/>
        <w:spacing w:after="100" w:before="220"/>
      </w:pPr>
      <w:r>
        <w:t xml:space="preserve">31 May 2026 — Written response, David Agar (cohort member)</w:t>
      </w:r>
    </w:p>
    <w:p>
      <w:pPr>
        <w:spacing w:after="140" w:before="0"/>
      </w:pPr>
      <w:r>
        <w:t xml:space="preserve">Raising £100k–£200k, grants. Every answer pointed at the application layer, not discovery or strategic reasoning: biggest time sinks are verifying eligibility, the variation between funders' application processes, and knowing what to emphasise / optimising core content for each funder's language (“consistent relevancy”). Currently uses ChatGPT to draft/sanity-check but has to hand-assemble a briefing doc because funder information isn't laid out for AI — a workflow Grant Tracker can beat precisely because it already holds the structured, verified funder data he assembles by hand. Manages via Excel + MS tasks reviewed weekly; explicitly wants CRM-type features for a “1-stop shop”. His stated number-one: a builder that drafts applications from the user's core content, flags what's missing or insufficient, with edit/submit options. Note: in the earlier live meeting he was very enthusiastic when the goal agent was described — so the convergence reading holds (users name discrete tools as pain, but want the connected agent).</w:t>
      </w:r>
    </w:p>
    <w:p>
      <w:pPr>
        <w:pStyle w:val="Heading3"/>
        <w:spacing w:after="100" w:before="220"/>
      </w:pPr>
      <w:r>
        <w:t xml:space="preserve">31 May 2026 — Written response, Emma (The Paper Birds, part-time fundraiser)</w:t>
      </w:r>
    </w:p>
    <w:p>
      <w:pPr>
        <w:spacing w:after="140" w:before="0"/>
      </w:pPr>
      <w:r>
        <w:t xml:space="preserve">Raising via a mix of grants, partnerships, and commissioned/project work; core-vs-project balance feels fragmented (validates mixed-funding framing, unprompted). States plainly that the time-consuming part is managing the process — deadlines, multiple applications at different stages, supporting info, reporting, funder relationships — not finding opportunities; capacity is the biggest challenge. Uses spreadsheets/docs/calendars as the sole central manager and says it “works for us.” Segment 3 (experienced, bogged-down by admin): value is coordination/capacity relief, not strategic guidance; switch-bar is high because the current system works. Follow-up sent probing whether anything in the management load would genuinely save time or whether the constraint is purely hours.</w:t>
      </w:r>
    </w:p>
    <w:p>
      <w:pPr>
        <w:pStyle w:val="Heading3"/>
        <w:spacing w:after="100" w:before="220"/>
      </w:pPr>
      <w:r>
        <w:t xml:space="preserve">Earlier — Feedback, Jen (cohort member, segment 3-like)</w:t>
      </w:r>
    </w:p>
    <w:p>
      <w:pPr>
        <w:spacing w:after="140" w:before="0"/>
      </w:pPr>
      <w:r>
        <w:t xml:space="preserve">Likes the pipeline for tracking (initially feared duplication with her existing pipeline, concluded it's a handy tool — note: “handy,” not essential). Pleasantly surprised by light onboarding pulling from their web presence. Decision-timeline detail rated more helpful than other grant AI tools she's tried (concrete competitive win). Two distinctive feature ideas: a “what would a funder find concerning” view (funder-AI-mirror — how applicants look to funders' AI assessment; novel, nobody in the competitive set has it), and the ability to search for funders by what they fund (e.g. capacity-building, a CRM) — validates the off-goal exploration use case and points at a catalogue capability (surface funders by what they'll fund, not just sector/beneficiary).</w:t>
      </w:r>
    </w:p>
    <w:p>
      <w:pPr>
        <w:pStyle w:val="Heading3"/>
        <w:spacing w:after="100" w:before="220"/>
      </w:pPr>
      <w:r>
        <w:t xml:space="preserve">31 May 2026 — Emerging segmentation pattern (hypothesis, tracking)</w:t>
      </w:r>
    </w:p>
    <w:p>
      <w:pPr>
        <w:spacing w:after="140" w:before="0"/>
      </w:pPr>
      <w:r>
        <w:t xml:space="preserve">Across three experienced respondents (David, Emma, Jen), pain clusters on execution — application crafting, coordination/reporting, tracking/specific-search — not on the strategic-reasoning layer the goal agent currently leads with. Consistent with the segmentation model: strategic reasoning is core value for inexperienced/time-poor segments; the application builder and CRM/coordination layers are core for experienced, higher-budget, higher-switch-bar segments. The convergence resolves the apparent tension: one agent across the journey, with the execution layers as where its intelligence is felt. Implication being tracked: the application builder and CRM/relationship layer may warrant pulling forward from “v2” toward “v1.x soon.” To validate across further responses and the Jen conversation; do not reorder the build on three data points, but weight accordingly if the pattern holds. See companion user-segments grid.</w:t>
      </w:r>
    </w:p>
    <w:p>
      <w:pPr>
        <w:pStyle w:val="Heading3"/>
        <w:spacing w:after="100" w:before="220"/>
      </w:pPr>
      <w:r>
        <w:t xml:space="preserve">2 June 2026 — Olympias Music (Petra / Hema), cohort cooling-off and signals</w:t>
      </w:r>
    </w:p>
    <w:p>
      <w:pPr>
        <w:spacing w:after="140" w:before="0"/>
      </w:pPr>
      <w:r>
        <w:t xml:space="preserve">The fundraiser (Hema) looked at the platform and was warm and impressed (“an amazing resource, the detail is excellent”); after a meeting, the maternity-cover CEO (Petra) sent a gracious step-back: protect the returning colleague's inbox, the fundraiser is too slammed with funding and reporting deadlines to trial, discomfort that the discovery question about how much they hope to raise felt like disclosing confidential financials, and a clear statement they would not pay after beta given they already use GrantFinder and 360Giving. Three signals worth banking: (1) segment-3 pattern again — experienced, capacity-stretched, pain is managing volume not finding; (2) an adoption barrier — the highest-need (most overloaded) users have the least capacity to onboard, which makes near-zero-effort onboarding essential, not cosmetic; (3) willingness-to-pay — contentment with free discovery tools (360Giving/GrantFinder are discovery/data) confirms discovery is not where unmet need or willingness to pay lives; the gap they don't fill is the management/coordination layer they have no capacity for. Handled with a warm, pressure-free reply leaving the door open for Jo's return in July. One cooling-off at CEO level with the actual user still warm does not move the picture; it corroborates the pattern.</w:t>
      </w:r>
    </w:p>
    <w:p>
      <w:pPr>
        <w:pStyle w:val="Heading3"/>
        <w:spacing w:after="100" w:before="220"/>
      </w:pPr>
      <w:r>
        <w:t xml:space="preserve">2 June 2026 — Pricing &amp; conversion research (external)</w:t>
      </w:r>
    </w:p>
    <w:p>
      <w:pPr>
        <w:spacing w:after="140" w:before="0"/>
      </w:pPr>
      <w:r>
        <w:t xml:space="preserve">External evidence strengthens the pricing architecture and corrects one fact. Confirms: anti-metering is textbook-correct for this buyer (nonprofit SaaS ~82% subscription; usage-based backfires), and free discovery as on-ramp is right (discovery is free elsewhere — Grantseeker, Charity Excellence — corroborating the “matcher ~70% reproducible” finding). Corrects: FundRobin's tiers are £15 / £159 / £399, not £199–£499 — so £50 is conservative against full-feature tiers but not the lowest entry point (a £15 anchor exists). Challenges: ability to pay is the binding constraint (67% of charities cite squeezed finances; the sub-£500k bottom half of the target range is financially fragile), and freemium converts at only 2–5% against a price-sensitive base — so the model depends on a large funnel (the MCP's job) or a better conversion mechanism. Key lever adopted: free trials convert at 17–50% versus freemium's 2–5%, with first-7–14-day time-to-value the biggest predictor — so add a time-boxed agent trial (discovery still free forever; a ~14-day window to experience the agent), captured in the commercial-structure section. Net: hold the architecture confidently; the real risk is conversion math against a fragile base, not the price level.</w:t>
      </w:r>
    </w:p>
    <w:p>
      <w:pPr>
        <w:pStyle w:val="Heading3"/>
        <w:spacing w:after="100" w:before="220"/>
      </w:pPr>
      <w:r>
        <w:t xml:space="preserve">3 June 2026 — Call with Jen Robinson-Slater (Learning with Parents)</w:t>
      </w:r>
    </w:p>
    <w:p>
      <w:pPr>
        <w:spacing w:after="140" w:before="0"/>
      </w:pPr>
      <w:r>
        <w:t xml:space="preserve">Experienced fundraiser (ex-Prince's Trust), leads a small team; charity raising £1.3m this academic year, grown fast from ~£600k two years ago — segment 7-ish (growing, outgrowing tools, on Monday boards, no CRM). A rich call that confirms the pattern, refines it, and surfaces one important warning.</w:t>
      </w:r>
    </w:p>
    <w:p>
      <w:pPr>
        <w:spacing w:after="140" w:before="0"/>
      </w:pPr>
      <w:r>
        <w:t xml:space="preserve">Confirms (now a fourth independent voice with Emma, David, Olympias): the pain is capacity and coordination, not finding — “it's capacity and having the time,” the firefighting of applications landing at once crowding out strategic work. The time-sink is network mapping (finding the right contact/email, who can open a door) and the deep-dive into funder accounts to assess fit — exactly the funder-intelligence assembly the verified catalogue collapses. Wants a better funding mix (her pipeline is concentrated in high-value, high-risk £100k+ funders; she explicitly wants more reliable £20–25k multi-year unrestricted) — the agent's mix/concentration reasoning, in her own words. Decision-timeline detail praised again and rated above a competitor's free trial (repeat competitive win). Free-then-paid-agent model affirmed; competitor pricing pain confirmed (Fundin free trial then a leap to ~£500/mo “we couldn't justify”), validating the sub-£500 positioning. Willingness-to-pay basis is healthy: she frames using AI efficiently as a responsibility of someone paid by a charity.</w:t>
      </w:r>
    </w:p>
    <w:p>
      <w:pPr>
        <w:spacing w:after="140" w:before="0"/>
      </w:pPr>
      <w:r>
        <w:t xml:space="preserve">Refines: within a team-led org the agent splits across two users — the functional layer (finding funding, working open/easy applications) is work she'd hand to a more junior team member, while the strategic layer (funding challenges around a direction, where the sector is going) is her own need, where an “AI boost” to her general steer would be “super helpful.” Strengthens the agent thesis (valuable at both levels) and previews the team-functions need at this scale. CRM gap named explicitly (“we don't have a CRM… Monday boards are project tools, not a CRM… that holds us back”) — reinforces the execution-layer pull-forward, still a grow-into given her workaround. Funder-AI-mirror validated as a real, already-hacked need: she has literally asked Claude “what red flags would you find for this charity?” and uses AI to score applications pre-submission for weaknesses and likely trustee concerns. Strongest possible signal the feature is real — weight it up (still later, not v1).</w:t>
      </w:r>
    </w:p>
    <w:p>
      <w:pPr>
        <w:spacing w:after="140" w:before="0"/>
      </w:pPr>
      <w:r>
        <w:rPr>
          <w:b/>
        </w:rPr>
        <w:t xml:space="preserve">The warning (most important): the agent must reduce load, not add it.</w:t>
      </w:r>
      <w:r>
        <w:t xml:space="preserve"> She raised burnout and expectation-inflation directly — AI is indispensable to her largely because output expectations keep rising, and “thinking you can do more because AI is there” can be harmful; asked if it would mean doing more, she said “yes, mostly.” A proactive, opportunity-surfacing agent could worsen the firefighting it's meant to ease. This drove the new design principle (see Part two: “The agent must reduce load, not generate it”): targeted, high-signal, framed as doing less firefighting and more strategy. Trust bar is absolute — she'd want it “if it worked well and you could trust it 100%.”</w:t>
      </w:r>
    </w:p>
    <w:p>
      <w:pPr>
        <w:spacing w:after="140" w:before="0"/>
      </w:pPr>
      <w:r>
        <w:t xml:space="preserve">Action from the call: email Jen re: profile-section updates and tweaks to improve her matches (the immediate practical follow-up that keeps her engaged and improves matching now).</w:t>
      </w:r>
    </w:p>
    <w:p>
      <w:pPr>
        <w:pStyle w:val="Heading3"/>
        <w:spacing w:after="100" w:before="220"/>
      </w:pPr>
      <w:r>
        <w:t xml:space="preserve">5 June 2026 — Call with Philomina Noel (Asian Community Concern)</w:t>
      </w:r>
    </w:p>
    <w:p>
      <w:pPr>
        <w:spacing w:after="140" w:before="0"/>
      </w:pPr>
      <w:r>
        <w:t xml:space="preserve">The voice from the other end of the spectrum — a small grassroots CIC in Southall (Ealing), effectively solo (she does all fundraising, compliance, coordination; three staff and volunteers deliver), financially fragile (last year “just survived”; closed the rented office to cut £1,000/month; rebuilding toward reserves). Segment 1/5 blend: needs guidance, founder-does-everything. Fills in the small-org picture David, Emma and Jen could not.</w:t>
      </w:r>
    </w:p>
    <w:p>
      <w:pPr>
        <w:spacing w:after="140" w:before="0"/>
      </w:pPr>
      <w:r>
        <w:t xml:space="preserve">Confirms — the pattern is now FIVE voices deep: finding is not the pain, even at the grassroots end (“funds are available because lots of the grants are open”; some funders come to her because they need her audience). Her magic wand is the application builder, with an important nuance: she wants the FRAMEWORK, not the finished draft — “starting that first 10% is time-consuming because you don't know what to start with… once you start, half the work has been done, you can put your idea, wrap it up with your experience.” That is the blank-page scaffold she writes into in her own voice — independently specifying the authenticity-and-structure design (AI does structure and guidance; the human writes the narrative). Segment-1 character shows in WHY: expertise supply, not time-saving — her eligibility-subtlety misses (“they need 80% women targeted… one or two points is less… sorry”; “something I miss at times, and that's the reason I don't get the grant”) cost her two-to-three-week applications rejected in days. The detailed eligibility audit and “what a strong application needs” layer address exactly this. Also confirmed: data freshness as a felt differentiator (“your one is quite up to date” vs second-hand, late newsletters), and in-kind valued (“not common. It's good”).</w:t>
      </w:r>
    </w:p>
    <w:p>
      <w:pPr>
        <w:spacing w:after="140" w:before="0"/>
      </w:pPr>
      <w:r>
        <w:rPr>
          <w:b/>
        </w:rPr>
        <w:t xml:space="preserve">New finding 1 — the data-permanence trust barrier (immediately actionable).</w:t>
      </w:r>
      <w:r>
        <w:t xml:space="preserve"> She has not moved her pipeline into Grant Tracker because “I'm not sure if it's a temporary one, and if I add all my data there and it's not…” — beta users won't invest data into a platform they perceive as temporary. This generalises: the companion thesis depends on users investing data and context (the accumulated understanding IS the switching-cost moat), so perceived permanence is a precondition for the moat to build at all. Fix is cheap and immediate: state explicitly in the next cohort email (and at free-tier launch) that data is theirs, persists beyond beta, and is exportable. May be quietly suppressing usage across the cohort, not just hers.</w:t>
      </w:r>
    </w:p>
    <w:p>
      <w:pPr>
        <w:spacing w:after="140" w:before="0"/>
      </w:pPr>
      <w:r>
        <w:rPr>
          <w:b/>
        </w:rPr>
        <w:t xml:space="preserve">New finding 2 — application-builder competition via trusted sector channels.</w:t>
      </w:r>
      <w:r>
        <w:t xml:space="preserve"> School of Social Entrepreneurs sent her a trial of an application-writing tool (email being forwarded). Two signals: the application-builder space is being actively targeted through sector-trusted distributors, nudging the urgency of the v1.x execution layer; and she bounced off it because it was SLOW — the same failure mode as FundRobin's matching. Speed-to-value is disproportionately important for time-poor users; a slow tool gets one chance.</w:t>
      </w:r>
    </w:p>
    <w:p>
      <w:pPr>
        <w:spacing w:after="140" w:before="0"/>
      </w:pPr>
      <w:r>
        <w:rPr>
          <w:b/>
        </w:rPr>
        <w:t xml:space="preserve">New finding 3 — relationship-led funding from below.</w:t>
      </w:r>
      <w:r>
        <w:t xml:space="preserve"> Jen described relationship-led funding as where the sector is going; Philomina described it from below: council grants go to connected, professional orgs (“if you have a good hand in the council, the grants automatically go there”) while grassroots organisations doing the work are invisible. For segment 1/5 the relationship layer isn't about managing relationships they have — it's about the access they LACK: the information-asymmetry-rebalancing mission in its sharpest form, and a corrective against designing the relationship layer only for the well-networked. Honest limit: some of this is local politics no software fully solves.</w:t>
      </w:r>
    </w:p>
    <w:p>
      <w:pPr>
        <w:spacing w:after="140" w:before="0"/>
      </w:pPr>
      <w:r>
        <w:t xml:space="preserve">Also noted: she personifies the mission-vs-revenue tension — just survived the year, will almost certainly never pay £35–50/month, and the feature she most wants (the application framework) sits paid. The model's answer stands (free discovery serves her genuinely; the trial lets her feel the agent; the paying heartland is elsewhere), but she is the face to hold in mind when pricing the lighter tier. Small UX signal: loans mixed into matches confused her (“not a grant but a loan”) — mixed-funding breadth needs clearer type signposting for grassroots users, possibly a default filter by what the org can take (connects to load-reduction). Her CVS/Ealing and SSE newsletter forwards are discovery sources for the borough-level catalogue gap (Ealing joins Sussex, Manchester, Wales, Lewisham on the local-gap map). Actions: permanence + export promise in the next cohort email; await her forwarded emails (newsletters + the SSE tool); advised her to run pipelines in parallel and transition fully at launch.</w:t>
      </w:r>
    </w:p>
    <w:p>
      <w:pPr>
        <w:pStyle w:val="Heading3"/>
        <w:spacing w:after="100" w:before="220"/>
      </w:pPr>
      <w:r>
        <w:t xml:space="preserve">5 June 2026 — Funder-side evidence (desk research, validating the demand side)</w:t>
      </w:r>
    </w:p>
    <w:p>
      <w:pPr>
        <w:spacing w:after="140" w:before="0"/>
      </w:pPr>
      <w:r>
        <w:t xml:space="preserve">The brief's evidence is overwhelmingly supply-side (charities); the funder side had been inferred, mainly from Jen. Direct funder conversations are slow to arrange, so this is published-evidence validation of the funder-side assumptions, pending primary conversations later. It substantially de-risks the relationship-and-access-layer thesis.</w:t>
      </w:r>
    </w:p>
    <w:p>
      <w:pPr>
        <w:spacing w:after="140" w:before="0"/>
      </w:pPr>
      <w:r>
        <w:rPr>
          <w:b/>
        </w:rPr>
        <w:t xml:space="preserve">Strongly validated — the trust-based shift.</w:t>
      </w:r>
      <w:r>
        <w:t xml:space="preserve"> IVAR's Open and Trusting Grant-making initiative (developed with London Funders; backed by the Association of Charitable Foundations) had over 150 UK funders signed to its eight commitments as of March 2025, making grants worth over £1 billion in 2023-24, now in its fifth year. The commitments push toward lighter, proportionate reporting and clearer, less repetitive applications. Charity-side demand is evidenced too: IVAR's Funding Experience survey of 1,200+ charities found open and trusting practice reduces pressure and gives charities more control. Internationally, 170+ funders signed trust-based commitments in 2025 (GEO), described as moving beyond theory to operational adoption. The premise that the funder-applicant relationship is being deliberately reshaped toward trust and flexibility is robustly evidenced.</w:t>
      </w:r>
    </w:p>
    <w:p>
      <w:pPr>
        <w:spacing w:after="140" w:before="0"/>
      </w:pPr>
      <w:r>
        <w:rPr>
          <w:b/>
        </w:rPr>
        <w:t xml:space="preserve">Strongly validated — the mechanism driving it.</w:t>
      </w:r>
      <w:r>
        <w:t xml:space="preserve"> An AI-driven application-volume crisis: 10,000 new charity applications last year vs the usual 5,000 (AI-enabled), with the Charity Commission approval rate dropping to just over 50% from the usual ~75% (volume plus associated fraud). Funders are visibly under volume pressure, which explains both the retreat from open floods toward managed relationships and the adoption of AI to cope. This is the engine under the whole funder-side picture.</w:t>
      </w:r>
    </w:p>
    <w:p>
      <w:pPr>
        <w:spacing w:after="140" w:before="0"/>
      </w:pPr>
      <w:r>
        <w:rPr>
          <w:b/>
        </w:rPr>
        <w:t xml:space="preserve">The honest nuance (tempers the relationship-layer framing).</w:t>
      </w:r>
      <w:r>
        <w:t xml:space="preserve"> Trust-based / open-and-trusting reform is largely about making funding MORE accessible and less gatekept (lighter forms, transparent priorities), which is NOT the same as “invitation-only, who-you-know replaces open applications.” The Trust-Based Philanthropy Project frames it as “shifting power, not shifting paperwork.” So the accurate reading is: the WHO matters more (consolidation, trust relationships, AI screening), while open routes are being reformed and supplemented, not abolished. This keeps the relationship-layer thesis credible rather than overstated, and fits Philomina's evidence that grassroots exclusion from relationship-led funding is a problem to solve, not a trend to ride.</w:t>
      </w:r>
    </w:p>
    <w:p>
      <w:pPr>
        <w:spacing w:after="140" w:before="0"/>
      </w:pPr>
      <w:r>
        <w:rPr>
          <w:b/>
        </w:rPr>
        <w:t xml:space="preserve">Partially validated, accelerating — funders using AI to assess (the funder-AI-mirror).</w:t>
      </w:r>
      <w:r>
        <w:t xml:space="preserve"> By 2026, AI tools screen applications for eligibility, flag incomplete submissions and assist initial scoring; the Patrick J. McGovern Foundation's Grant Guardian (financial due diligence) is used by 420+ foundations. But the posture is cautious and human-in-the-loop: foundations explore generative AI for scoring objective parts and for summaries/trend analysis, while stating they would never let it make funding decisions without expert oversight, and healthy skepticism remains. So the mirror is directionally validated and clearly accelerating — enough to justify it as a forward-looking feature, framed honestly as emerging rather than universal.</w:t>
      </w:r>
    </w:p>
    <w:p>
      <w:pPr>
        <w:spacing w:after="140" w:before="0"/>
      </w:pPr>
      <w:r>
        <w:rPr>
          <w:b/>
        </w:rPr>
        <w:t xml:space="preserve">New structural fact — funder consolidation.</w:t>
      </w:r>
      <w:r>
        <w:t xml:space="preserve"> The 2020-2026 New vs Closed Funders analysis (Granted Giving) finds fewer funders but more money — consolidation, not decline — with a net UK gain of roughly £526m and the number of funders likely to keep declining, producing a tighter, more competitive landscape. Fewer, larger, more significant funders means relationships carry more weight and Jen's concentration-risk worry is a sector-wide structural reality, not just her pipeline. Strengthens both the relationship-layer justification and the agent's concentration/mix reasoning.</w:t>
      </w:r>
    </w:p>
    <w:p>
      <w:pPr>
        <w:spacing w:after="140" w:before="0"/>
      </w:pPr>
      <w:r>
        <w:rPr>
          <w:b/>
        </w:rPr>
        <w:t xml:space="preserve">Still genuinely unvalidated — funder willingness to pay for / use a discovery platform.</w:t>
      </w:r>
      <w:r>
        <w:t xml:space="preserve"> None of this closes the two-sided / funder-side-monetisation question (Raiser's bet, the phase-two hedge): whether funders would pay for or actively use a platform to discover charities. Mildly encouraging at the edges — funders are investing in grantmaking technology and small funders are capacity-constrained and seeking efficiency too — but appetite for internal AI tooling is not appetite for a third-party marketplace. This is the one piece that still needs a few primary funder conversations, and can wait until the funder side is actually on the roadmap. (Sources: IVAR; UK Grantmaking; Granted Giving New vs Closed Funders Report; Charity Commission application data via sector commentary; Alliance / Candid on funder AI; Trust-Based Philanthropy Project / GEO.)</w:t>
      </w:r>
    </w:p>
    <w:p>
      <w:pPr>
        <w:pStyle w:val="Heading3"/>
        <w:spacing w:after="100" w:before="220"/>
      </w:pPr>
      <w:r>
        <w:t xml:space="preserve">6 June 2026 — Sector AI readiness: the moment, evidenced</w:t>
      </w:r>
    </w:p>
    <w:p>
      <w:pPr>
        <w:spacing w:after="140" w:before="0"/>
      </w:pPr>
      <w:r>
        <w:t xml:space="preserve">Two finds in one week that together evidence the sector's AI moment from the charity side, complementing the funder-side entry above.</w:t>
      </w:r>
    </w:p>
    <w:p>
      <w:pPr>
        <w:spacing w:after="140" w:before="0"/>
      </w:pPr>
      <w:r>
        <w:rPr>
          <w:b/>
        </w:rPr>
        <w:t xml:space="preserve">Adoption is done; skill is the gap (Charity Digital Skills Report, early findings, May 2026).</w:t>
      </w:r>
      <w:r>
        <w:t xml:space="preserve"> 88% of charities now use AI in day-to-day work (up from 76%), with the gap between small and large organisations practically closed. The biggest barrier has shifted: 55% cite limited skills (up from 43%), with concerns about quality, accuracy and ethics all rising. Implication for Grant Tracker: the market question is no longer “will charities use AI?” but “who removes the skill burden?” — which is exactly what a purpose-built agent does (the agent asks the questions, knows the domain, carries the AI skill; no prompting expertise needed). This also softens the engagement-assumption risk: the barrier is capability and capacity, not willingness — the burden the product removes. The rising quality/accuracy/ethics concern is further commercial backing for the trust-first, citation-grounded design. Full report lands July 2026 — capture the definitive statistics for launch materials. (Source: CharityComms / Lisa Ballam, Torchbox, 20 May 2026, drawing on charitydigitalskills.co.uk early findings, first 240 responses.)</w:t>
      </w:r>
    </w:p>
    <w:p>
      <w:pPr>
        <w:spacing w:after="140" w:before="0"/>
      </w:pPr>
      <w:r>
        <w:rPr>
          <w:b/>
        </w:rPr>
        <w:t xml:space="preserve">Independent validation of the architecture as “transformational AI.”</w:t>
      </w:r>
      <w:r>
        <w:t xml:space="preserve"> The same article's three-level maturity frame (everyday → strategic → transformational AI) describes its top tier with an example that matches Grant Tracker's design almost clause for clause: an AI-powered matching system considering dozens of factors at once, ranking the best options and explaining why each fits, with the team's intuitive knowledge embedded so that “knowledge becomes infrastructure rather than something that lives only in people's heads” (= the 7-step engine, reasoned prioritisation with the why, and the central-brain thesis). The route to that tier is described as a strategy lead + an engineer + AI — a team most charities can no more afford than fundraising consultants. Positioning language this yields: Grant Tracker is transformational AI for fundraising, delivered as a product — the top of the sector's own maturity ladder without hiring for it. (Torchbox is not a competitor: it builds bespoke systems for large charities at agency prices — another vivid “expensive alternative” for the pricing story.)</w:t>
      </w:r>
    </w:p>
    <w:p>
      <w:pPr>
        <w:spacing w:after="140" w:before="0"/>
      </w:pPr>
      <w:r>
        <w:rPr>
          <w:b/>
        </w:rPr>
        <w:t xml:space="preserve">The reporting iceberg and a live route to funder conversations (IVAR + CAST AI Exchange, May-June 2026).</w:t>
      </w:r>
      <w:r>
        <w:t xml:space="preserve"> A LinkedIn post from the AI Exchange (a collaboration between IVAR and CAST to strengthen the sector's engagement with AI) frames grant reports as icebergs: charities spend huge time writing them, tailoring the same information for multiple funders; funders collect them but lack capacity to extract the learning; enormous knowledge sits invisible. Funders' one-word descriptions of grant reporting: “complex”, “underutilised”, “potential”. Three things this gives Grant Tracker: (1) further funder-AI validation from a new angle — funders want AI for sense-making of funded work, consistent with the cautious, insight-oriented posture in the funder-side entry; (2) confirmation that the accrued org context compounds downstream — the same living context that writes a strong application writes the report a year later (Team-tier reporting territory now; Frame's home ground long-term; no build now); (3) most practically, a warm, named route into primary funder conversations — the AI Exchange is convening exactly the funders the evidence gap needs, with an open invitation to get involved (outreach to the post's author initiated, June 2026). CAST itself is a credibility and distribution node worth knowing regardless.</w:t>
      </w:r>
    </w:p>
    <w:p>
      <w:pPr>
        <w:spacing w:before="360"/>
      </w:pPr>
      <w:r>
        <w:rPr>
          <w:i/>
          <w:iCs/>
          <w:color w:val="555555"/>
          <w:sz w:val="20"/>
          <w:szCs w:val="20"/>
        </w:rPr>
        <w:t xml:space="preserve">This brief holds the v1 focus and the long-term vision together without letting either crowd the other out — which is the central discipline of the whole strategy. Build the v1 agent well, capture the data and consent foundations the central brain depends on, and let the larger structure emerge over time rather than building it all at once.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Grant Tracker — Goal Agent &amp; Intelligence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A1A1A"/>
      <w:sz w:val="25"/>
      <w:szCs w:val="25"/>
    </w:rPr>
  </w:style>
  <w:style w:type="paragraph" w:styleId="Heading3">
    <w:name w:val="Heading 3"/>
    <w:basedOn w:val="Normal"/>
    <w:next w:val="Normal"/>
    <w:qFormat/>
    <w:pPr>
      <w:spacing w:after="100" w:before="22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 Tracker — Goal Agent &amp; Intelligence Layer Brief</dc:title>
  <dc:creator>Paul Kilty</dc:creator>
  <cp:lastModifiedBy>Un-named</cp:lastModifiedBy>
  <cp:revision>1</cp:revision>
  <dcterms:created xsi:type="dcterms:W3CDTF">2026-06-01T19:45:18.340Z</dcterms:created>
  <dcterms:modified xsi:type="dcterms:W3CDTF">2026-06-01T19:45:18.352Z</dcterms:modified>
</cp:coreProperties>
</file>

<file path=docProps/custom.xml><?xml version="1.0" encoding="utf-8"?>
<Properties xmlns="http://schemas.openxmlformats.org/officeDocument/2006/custom-properties" xmlns:vt="http://schemas.openxmlformats.org/officeDocument/2006/docPropsVTypes"/>
</file>