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80"/>
      </w:pPr>
      <w:r>
        <w:rPr>
          <w:rFonts w:ascii="Arial" w:cs="Arial" w:eastAsia="Arial" w:hAnsi="Arial"/>
          <w:b/>
          <w:bCs/>
          <w:color w:val="c9a84c"/>
          <w:spacing w:val="200"/>
          <w:sz w:val="20"/>
          <w:szCs w:val="20"/>
        </w:rPr>
        <w:t xml:space="preserve">MARKET REVIEW</w:t>
      </w:r>
    </w:p>
    <w:p>
      <w:pPr>
        <w:spacing w:before="0" w:after="80"/>
      </w:pPr>
      <w:r>
        <w:rPr>
          <w:rFonts w:ascii="Arial" w:cs="Arial" w:eastAsia="Arial" w:hAnsi="Arial"/>
          <w:b/>
          <w:bCs/>
          <w:color w:val="1a3c2e"/>
          <w:sz w:val="56"/>
          <w:szCs w:val="56"/>
        </w:rPr>
        <w:t xml:space="preserve">Grant Tracker</w:t>
      </w:r>
    </w:p>
    <w:p>
      <w:pPr>
        <w:pBdr>
          <w:bottom w:val="single" w:color="c9a84c" w:sz="12" w:space="6"/>
        </w:pBdr>
        <w:spacing w:before="0" w:after="200"/>
      </w:pPr>
      <w:r>
        <w:rPr>
          <w:rFonts w:ascii="Arial" w:cs="Arial" w:eastAsia="Arial" w:hAnsi="Arial"/>
          <w:i/>
          <w:iCs/>
          <w:color w:val="5c7c68"/>
          <w:sz w:val="26"/>
          <w:szCs w:val="26"/>
        </w:rPr>
        <w:t xml:space="preserve">Competitive positioning, differentiation &amp; strategic gaps</w:t>
      </w:r>
    </w:p>
    <w:p>
      <w:pPr>
        <w:spacing w:before="320" w:after="0"/>
      </w:pPr>
      <w:r>
        <w:t xml:space="preserve"/>
      </w:r>
    </w:p>
    <w:p>
      <w:pPr>
        <w:spacing w:before="0" w:after="400"/>
      </w:pPr>
      <w:r>
        <w:rPr>
          <w:rFonts w:ascii="Arial" w:cs="Arial" w:eastAsia="Arial" w:hAnsi="Arial"/>
          <w:color w:val="AAAAAA"/>
          <w:sz w:val="20"/>
          <w:szCs w:val="20"/>
        </w:rPr>
        <w:t xml:space="preserve">February 2026  |  Internal Strategy Document</w:t>
      </w:r>
    </w:p>
    <w:p>
      <w:pPr>
        <w:pStyle w:val="Heading1"/>
        <w:pBdr>
          <w:bottom w:val="single" w:color="c9a84c" w:sz="8" w:space="4"/>
        </w:pBdr>
        <w:spacing w:before="360" w:after="160"/>
      </w:pPr>
      <w:r>
        <w:rPr>
          <w:rFonts w:ascii="Arial" w:cs="Arial" w:eastAsia="Arial" w:hAnsi="Arial"/>
          <w:b/>
          <w:bCs/>
          <w:color w:val="1a3c2e"/>
          <w:sz w:val="32"/>
          <w:szCs w:val="32"/>
        </w:rPr>
        <w:t xml:space="preserve">Executive Summary</w:t>
      </w:r>
    </w:p>
    <w:p>
      <w:pPr>
        <w:spacing w:before="60" w:after="100"/>
      </w:pPr>
      <w:r>
        <w:rPr>
          <w:rFonts w:ascii="Arial" w:cs="Arial" w:eastAsia="Arial" w:hAnsi="Arial"/>
          <w:color w:val="333333"/>
          <w:sz w:val="22"/>
          <w:szCs w:val="22"/>
        </w:rPr>
        <w:t xml:space="preserve">Grant Tracker occupies a genuinely distinctive position in the UK grant-finding market — but it is not yet competing on the same terms as established platforms.</w:t>
      </w:r>
    </w:p>
    <w:p>
      <w:pPr>
        <w:spacing w:before="60" w:after="100"/>
      </w:pPr>
      <w:r>
        <w:rPr>
          <w:rFonts w:ascii="Arial" w:cs="Arial" w:eastAsia="Arial" w:hAnsi="Arial"/>
          <w:color w:val="333333"/>
          <w:sz w:val="22"/>
          <w:szCs w:val="22"/>
        </w:rPr>
        <w:t xml:space="preserve">The incumbents (Idox GrantFinder, Grants Online) win on data volume and freshness. Grant Tracker cannot match them on raw database size today, and should not try to. Instead, its competitive advantage lies in being the only platform that integrates discovery, AI-powered search, and application pipeline management in a single tool — something no competitor currently offers.</w:t>
      </w:r>
    </w:p>
    <w:p>
      <w:pPr>
        <w:spacing w:before="60" w:after="100"/>
      </w:pPr>
      <w:r>
        <w:rPr>
          <w:rFonts w:ascii="Arial" w:cs="Arial" w:eastAsia="Arial" w:hAnsi="Arial"/>
          <w:color w:val="333333"/>
          <w:sz w:val="22"/>
          <w:szCs w:val="22"/>
        </w:rPr>
        <w:t xml:space="preserve">The strategic question is not "how do we beat GrantFinder?" but rather "who does Grant Tracker serve better than anyone else?" The answer is small-to-medium UK charities and CICs who need a lightweight, modern, all-in-one grants workspace — not a raw data subscription.</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7c68" w:sz="1"/>
              <w:left w:val="single" w:color="5c7c68" w:sz="12"/>
              <w:bottom w:val="single" w:color="5c7c68" w:sz="1"/>
              <w:right w:val="single" w:color="5c7c68" w:sz="1"/>
            </w:tcBorders>
            <w:shd w:fill="EEF6EF" w:val="clear"/>
            <w:tcMar>
              <w:top w:type="dxa" w:w="120"/>
              <w:left w:type="dxa" w:w="200"/>
              <w:bottom w:type="dxa" w:w="120"/>
              <w:right w:type="dxa" w:w="200"/>
            </w:tcMar>
          </w:tcPr>
          <w:p>
            <w:pPr>
              <w:spacing w:before="0" w:after="60"/>
            </w:pPr>
            <w:r>
              <w:rPr>
                <w:rFonts w:ascii="Arial" w:cs="Arial" w:eastAsia="Arial" w:hAnsi="Arial"/>
                <w:b/>
                <w:bCs/>
                <w:color w:val="5c7c68"/>
                <w:sz w:val="20"/>
                <w:szCs w:val="20"/>
              </w:rPr>
              <w:t xml:space="preserve">The one-line pitch</w:t>
            </w:r>
          </w:p>
          <w:p>
            <w:pPr>
              <w:spacing w:before="0" w:after="0"/>
            </w:pPr>
            <w:r>
              <w:rPr>
                <w:rFonts w:ascii="Arial" w:cs="Arial" w:eastAsia="Arial" w:hAnsi="Arial"/>
                <w:color w:val="333333"/>
                <w:sz w:val="20"/>
                <w:szCs w:val="20"/>
              </w:rPr>
              <w:t xml:space="preserve">Grant Tracker is the only UK grants tool that lets you find, evaluate, and manage your entire application pipeline in one place — free, modern, and built for smaller organisations.</w:t>
            </w:r>
          </w:p>
        </w:tc>
      </w:tr>
    </w:tbl>
    <w:p>
      <w:pPr>
        <w:spacing w:before="160" w:after="0"/>
      </w:pPr>
      <w:r>
        <w:t xml:space="preserve"/>
      </w:r>
    </w:p>
    <w:p>
      <w:r>
        <w:br w:type="page"/>
      </w:r>
    </w:p>
    <w:p>
      <w:pPr>
        <w:pStyle w:val="Heading1"/>
        <w:pBdr>
          <w:bottom w:val="single" w:color="c9a84c" w:sz="8" w:space="4"/>
        </w:pBdr>
        <w:spacing w:before="360" w:after="160"/>
      </w:pPr>
      <w:r>
        <w:rPr>
          <w:rFonts w:ascii="Arial" w:cs="Arial" w:eastAsia="Arial" w:hAnsi="Arial"/>
          <w:b/>
          <w:bCs/>
          <w:color w:val="1a3c2e"/>
          <w:sz w:val="32"/>
          <w:szCs w:val="32"/>
        </w:rPr>
        <w:t xml:space="preserve">The Competitive Landscape</w:t>
      </w:r>
    </w:p>
    <w:p>
      <w:pPr>
        <w:spacing w:before="60" w:after="100"/>
      </w:pPr>
      <w:r>
        <w:rPr>
          <w:rFonts w:ascii="Arial" w:cs="Arial" w:eastAsia="Arial" w:hAnsi="Arial"/>
          <w:color w:val="333333"/>
          <w:sz w:val="22"/>
          <w:szCs w:val="22"/>
        </w:rPr>
        <w:t xml:space="preserve">The UK grants market has several well-established players, broadly divided into database tools (discovery only) and a small number of newer workflow tools. No single competitor currently covers the full lifecycle from discovery to application management.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800"/>
        <w:gridCol w:w="900"/>
        <w:gridCol w:w="2380"/>
        <w:gridCol w:w="2380"/>
      </w:tblGrid>
      <w:tr>
        <w:tc>
          <w:tcPr>
            <w:tcW w:type="dxa" w:w="1800"/>
            <w:tcBorders>
              <w:top w:val="single" w:color="1a3c2e" w:sz="1"/>
              <w:left w:val="single" w:color="1a3c2e" w:sz="1"/>
              <w:bottom w:val="single" w:color="1a3c2e" w:sz="1"/>
              <w:right w:val="single" w:color="1a3c2e" w:sz="1"/>
            </w:tcBorders>
            <w:shd w:fill="1a3c2e" w:val="clear"/>
            <w:tcMar>
              <w:top w:type="dxa" w:w="100"/>
              <w:left w:type="dxa" w:w="120"/>
              <w:bottom w:type="dxa" w:w="100"/>
              <w:right w:type="dxa" w:w="120"/>
            </w:tcMar>
          </w:tcPr>
          <w:p>
            <w:r>
              <w:rPr>
                <w:rFonts w:ascii="Arial" w:cs="Arial" w:eastAsia="Arial" w:hAnsi="Arial"/>
                <w:b/>
                <w:bCs/>
                <w:color w:val="FFFFFF"/>
                <w:sz w:val="18"/>
                <w:szCs w:val="18"/>
              </w:rPr>
              <w:t xml:space="preserve">Platform</w:t>
            </w:r>
          </w:p>
        </w:tc>
        <w:tc>
          <w:tcPr>
            <w:tcW w:type="dxa" w:w="1100"/>
            <w:tcBorders>
              <w:top w:val="single" w:color="1a3c2e" w:sz="1"/>
              <w:left w:val="single" w:color="1a3c2e" w:sz="1"/>
              <w:bottom w:val="single" w:color="1a3c2e" w:sz="1"/>
              <w:right w:val="single" w:color="1a3c2e" w:sz="1"/>
            </w:tcBorders>
            <w:shd w:fill="1a3c2e" w:val="clear"/>
            <w:tcMar>
              <w:top w:type="dxa" w:w="100"/>
              <w:left w:type="dxa" w:w="120"/>
              <w:bottom w:type="dxa" w:w="100"/>
              <w:right w:type="dxa" w:w="120"/>
            </w:tcMar>
          </w:tcPr>
          <w:p>
            <w:r>
              <w:rPr>
                <w:rFonts w:ascii="Arial" w:cs="Arial" w:eastAsia="Arial" w:hAnsi="Arial"/>
                <w:b/>
                <w:bCs/>
                <w:color w:val="FFFFFF"/>
                <w:sz w:val="18"/>
                <w:szCs w:val="18"/>
              </w:rPr>
              <w:t xml:space="preserve">Type</w:t>
            </w:r>
          </w:p>
        </w:tc>
        <w:tc>
          <w:tcPr>
            <w:tcW w:type="dxa" w:w="800"/>
            <w:tcBorders>
              <w:top w:val="single" w:color="1a3c2e" w:sz="1"/>
              <w:left w:val="single" w:color="1a3c2e" w:sz="1"/>
              <w:bottom w:val="single" w:color="1a3c2e" w:sz="1"/>
              <w:right w:val="single" w:color="1a3c2e" w:sz="1"/>
            </w:tcBorders>
            <w:shd w:fill="1a3c2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DB Size</w:t>
            </w:r>
          </w:p>
        </w:tc>
        <w:tc>
          <w:tcPr>
            <w:tcW w:type="dxa" w:w="900"/>
            <w:tcBorders>
              <w:top w:val="single" w:color="1a3c2e" w:sz="1"/>
              <w:left w:val="single" w:color="1a3c2e" w:sz="1"/>
              <w:bottom w:val="single" w:color="1a3c2e" w:sz="1"/>
              <w:right w:val="single" w:color="1a3c2e" w:sz="1"/>
            </w:tcBorders>
            <w:shd w:fill="1a3c2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Cost</w:t>
            </w:r>
          </w:p>
        </w:tc>
        <w:tc>
          <w:tcPr>
            <w:tcW w:type="dxa" w:w="2380"/>
            <w:tcBorders>
              <w:top w:val="single" w:color="1a3c2e" w:sz="1"/>
              <w:left w:val="single" w:color="1a3c2e" w:sz="1"/>
              <w:bottom w:val="single" w:color="1a3c2e" w:sz="1"/>
              <w:right w:val="single" w:color="1a3c2e" w:sz="1"/>
            </w:tcBorders>
            <w:shd w:fill="1a3c2e" w:val="clear"/>
            <w:tcMar>
              <w:top w:type="dxa" w:w="100"/>
              <w:left w:type="dxa" w:w="120"/>
              <w:bottom w:type="dxa" w:w="100"/>
              <w:right w:type="dxa" w:w="120"/>
            </w:tcMar>
          </w:tcPr>
          <w:p>
            <w:r>
              <w:rPr>
                <w:rFonts w:ascii="Arial" w:cs="Arial" w:eastAsia="Arial" w:hAnsi="Arial"/>
                <w:b/>
                <w:bCs/>
                <w:color w:val="FFFFFF"/>
                <w:sz w:val="18"/>
                <w:szCs w:val="18"/>
              </w:rPr>
              <w:t xml:space="preserve">Strength</w:t>
            </w:r>
          </w:p>
        </w:tc>
        <w:tc>
          <w:tcPr>
            <w:tcW w:type="dxa" w:w="2380"/>
            <w:tcBorders>
              <w:top w:val="single" w:color="1a3c2e" w:sz="1"/>
              <w:left w:val="single" w:color="1a3c2e" w:sz="1"/>
              <w:bottom w:val="single" w:color="1a3c2e" w:sz="1"/>
              <w:right w:val="single" w:color="1a3c2e" w:sz="1"/>
            </w:tcBorders>
            <w:shd w:fill="1a3c2e" w:val="clear"/>
            <w:tcMar>
              <w:top w:type="dxa" w:w="100"/>
              <w:left w:type="dxa" w:w="120"/>
              <w:bottom w:type="dxa" w:w="100"/>
              <w:right w:type="dxa" w:w="120"/>
            </w:tcMar>
          </w:tcPr>
          <w:p>
            <w:r>
              <w:rPr>
                <w:rFonts w:ascii="Arial" w:cs="Arial" w:eastAsia="Arial" w:hAnsi="Arial"/>
                <w:b/>
                <w:bCs/>
                <w:color w:val="FFFFFF"/>
                <w:sz w:val="18"/>
                <w:szCs w:val="18"/>
              </w:rPr>
              <w:t xml:space="preserve">Weakness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2e"/>
                <w:sz w:val="18"/>
                <w:szCs w:val="18"/>
              </w:rPr>
              <w:t xml:space="preserve">Idox GrantFinder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DB + Tools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8"/>
                <w:szCs w:val="18"/>
              </w:rPr>
              <w:t xml:space="preserve">8,500+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8"/>
                <w:szCs w:val="18"/>
              </w:rPr>
              <w:t xml:space="preserve">£££/yr</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Most comprehensive UK database, real-time updates, policy alignment tools, expert research team</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Expensive; enterprise-focused; no pipeline or tracking; dated UI</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1a3c2e"/>
                <w:sz w:val="18"/>
                <w:szCs w:val="18"/>
              </w:rPr>
              <w:t xml:space="preserve">Grants Online</w:t>
            </w:r>
          </w:p>
        </w:tc>
        <w:tc>
          <w:tcPr>
            <w:tcW w:type="dxa" w:w="1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55555"/>
                <w:sz w:val="18"/>
                <w:szCs w:val="18"/>
              </w:rPr>
              <w:t xml:space="preserve">DB + Alerts</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color w:val="333333"/>
                <w:sz w:val="18"/>
                <w:szCs w:val="18"/>
              </w:rPr>
              <w:t xml:space="preserve">2,000+</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color w:val="333333"/>
                <w:sz w:val="18"/>
                <w:szCs w:val="18"/>
              </w:rPr>
              <w:t xml:space="preserve">££/yr</w:t>
            </w:r>
          </w:p>
        </w:tc>
        <w:tc>
          <w:tcPr>
            <w:tcW w:type="dxa" w:w="2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Well-curated, regularly updated, first-to-know email alerts, sector filters</w:t>
            </w:r>
          </w:p>
        </w:tc>
        <w:tc>
          <w:tcPr>
            <w:tcW w:type="dxa" w:w="2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No pipeline; no AI; no tracking; subscription-only; no free tier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2e"/>
                <w:sz w:val="18"/>
                <w:szCs w:val="18"/>
              </w:rPr>
              <w:t xml:space="preserve">Charity Excellence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Directory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8"/>
                <w:szCs w:val="18"/>
              </w:rPr>
              <w:t xml:space="preserve">100k+ links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8"/>
                <w:szCs w:val="18"/>
              </w:rPr>
              <w:t xml:space="preserve">Free</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Free; massive link directory; ethical funder ratings; optimised for small charities</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Links-based only (not a real database); inconsistent quality; no tracking or AI</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1a3c2e"/>
                <w:sz w:val="18"/>
                <w:szCs w:val="18"/>
              </w:rPr>
              <w:t xml:space="preserve">Grant Finder Pro</w:t>
            </w:r>
          </w:p>
        </w:tc>
        <w:tc>
          <w:tcPr>
            <w:tcW w:type="dxa" w:w="1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55555"/>
                <w:sz w:val="18"/>
                <w:szCs w:val="18"/>
              </w:rPr>
              <w:t xml:space="preserve">Alerts + AI</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color w:val="333333"/>
                <w:sz w:val="18"/>
                <w:szCs w:val="18"/>
              </w:rPr>
              <w:t xml:space="preserve">~500</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color w:val="333333"/>
                <w:sz w:val="18"/>
                <w:szCs w:val="18"/>
              </w:rPr>
              <w:t xml:space="preserve">£20–50/mo</w:t>
            </w:r>
          </w:p>
        </w:tc>
        <w:tc>
          <w:tcPr>
            <w:tcW w:type="dxa" w:w="2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Weekly personalised email digests; AI draft generation; low cost; simple onboarding</w:t>
            </w:r>
          </w:p>
        </w:tc>
        <w:tc>
          <w:tcPr>
            <w:tcW w:type="dxa" w:w="2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No pipeline; no deep search; AI drafts are basic; small curated pool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2e"/>
                <w:sz w:val="18"/>
                <w:szCs w:val="18"/>
              </w:rPr>
              <w:t xml:space="preserve">Turn2us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DB</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8"/>
                <w:szCs w:val="18"/>
              </w:rPr>
              <w:t xml:space="preserve">3,000+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8"/>
                <w:szCs w:val="18"/>
              </w:rPr>
              <w:t xml:space="preserve">Free</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Free; welfare and trust focus; good for organisations supporting individuals in need</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Narrow focus; no tracking, no AI, no pipeline; primarily for individual grant seekers</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1a3c2e"/>
                <w:sz w:val="18"/>
                <w:szCs w:val="18"/>
              </w:rPr>
              <w:t xml:space="preserve">360Giving</w:t>
            </w:r>
          </w:p>
        </w:tc>
        <w:tc>
          <w:tcPr>
            <w:tcW w:type="dxa" w:w="1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55555"/>
                <w:sz w:val="18"/>
                <w:szCs w:val="18"/>
              </w:rPr>
              <w:t xml:space="preserve">Data tool</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color w:val="333333"/>
                <w:sz w:val="18"/>
                <w:szCs w:val="18"/>
              </w:rPr>
              <w:t xml:space="preserve">14,000+ funders</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color w:val="333333"/>
                <w:sz w:val="18"/>
                <w:szCs w:val="18"/>
              </w:rPr>
              <w:t xml:space="preserve">Free</w:t>
            </w:r>
          </w:p>
        </w:tc>
        <w:tc>
          <w:tcPr>
            <w:tcW w:type="dxa" w:w="2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Best source of historic grant data and funder intelligence for research purposes</w:t>
            </w:r>
          </w:p>
        </w:tc>
        <w:tc>
          <w:tcPr>
            <w:tcW w:type="dxa" w:w="2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18"/>
                <w:szCs w:val="18"/>
              </w:rPr>
              <w:t xml:space="preserve">Not a search tool; shows what was funded, not what is open now; no applications support</w:t>
            </w:r>
          </w:p>
        </w:tc>
      </w:tr>
    </w:tbl>
    <w:p>
      <w:pPr>
        <w:spacing w:before="240" w:after="0"/>
      </w:pPr>
      <w:r>
        <w:t xml:space="preserve"/>
      </w:r>
    </w:p>
    <w:p>
      <w:pPr>
        <w:pStyle w:val="Heading2"/>
        <w:spacing w:before="280" w:after="120"/>
      </w:pPr>
      <w:r>
        <w:rPr>
          <w:rFonts w:ascii="Arial" w:cs="Arial" w:eastAsia="Arial" w:hAnsi="Arial"/>
          <w:b/>
          <w:bCs/>
          <w:color w:val="1a3c2e"/>
          <w:sz w:val="26"/>
          <w:szCs w:val="26"/>
        </w:rPr>
        <w:t xml:space="preserve">Idox GrantFinder</w:t>
      </w:r>
    </w:p>
    <w:p>
      <w:pPr>
        <w:spacing w:before="60" w:after="100"/>
      </w:pPr>
      <w:r>
        <w:rPr>
          <w:rFonts w:ascii="Arial" w:cs="Arial" w:eastAsia="Arial" w:hAnsi="Arial"/>
          <w:color w:val="333333"/>
          <w:sz w:val="22"/>
          <w:szCs w:val="22"/>
        </w:rPr>
        <w:t xml:space="preserve">The market leader by database size and institutional trust. Used by local authorities, large national charities, consultants, and housing associations. Its strengths are its 8,500+ continuously updated records, dedicated research team, real-time alerts, and its new Policy Match feature that aligns funding search with local government priorities.</w:t>
      </w:r>
    </w:p>
    <w:p>
      <w:pPr>
        <w:spacing w:before="60" w:after="100"/>
      </w:pPr>
      <w:r>
        <w:rPr>
          <w:rFonts w:ascii="Arial" w:cs="Arial" w:eastAsia="Arial" w:hAnsi="Arial"/>
          <w:color w:val="333333"/>
          <w:sz w:val="22"/>
          <w:szCs w:val="22"/>
        </w:rPr>
        <w:t xml:space="preserve">Its weaknesses are its price (enterprise subscription, typically £1,000–£5,000+/year), its dated interface, and its complete absence of any pipeline or workflow tools. It is a research database, not a grants workspace.</w:t>
      </w:r>
    </w:p>
    <w:p>
      <w:pPr>
        <w:pStyle w:val="Heading2"/>
        <w:spacing w:before="280" w:after="120"/>
      </w:pPr>
      <w:r>
        <w:rPr>
          <w:rFonts w:ascii="Arial" w:cs="Arial" w:eastAsia="Arial" w:hAnsi="Arial"/>
          <w:b/>
          <w:bCs/>
          <w:color w:val="1a3c2e"/>
          <w:sz w:val="26"/>
          <w:szCs w:val="26"/>
        </w:rPr>
        <w:t xml:space="preserve">Grants Online</w:t>
      </w:r>
    </w:p>
    <w:p>
      <w:pPr>
        <w:spacing w:before="60" w:after="100"/>
      </w:pPr>
      <w:r>
        <w:rPr>
          <w:rFonts w:ascii="Arial" w:cs="Arial" w:eastAsia="Arial" w:hAnsi="Arial"/>
          <w:color w:val="333333"/>
          <w:sz w:val="22"/>
          <w:szCs w:val="22"/>
        </w:rPr>
        <w:t xml:space="preserve">The second major subscription platform. Regularly updated, good sector filtering, and a reliable email alert service for new opportunities. It serves a broad range of charity types. Like GrantFinder, it is purely a discovery tool — there is no pipeline, no tracking, no AI. Once you've found a grant, you leave the platform.</w:t>
      </w:r>
    </w:p>
    <w:p>
      <w:pPr>
        <w:pStyle w:val="Heading2"/>
        <w:spacing w:before="280" w:after="120"/>
      </w:pPr>
      <w:r>
        <w:rPr>
          <w:rFonts w:ascii="Arial" w:cs="Arial" w:eastAsia="Arial" w:hAnsi="Arial"/>
          <w:b/>
          <w:bCs/>
          <w:color w:val="1a3c2e"/>
          <w:sz w:val="26"/>
          <w:szCs w:val="26"/>
        </w:rPr>
        <w:t xml:space="preserve">Charity Excellence Funding Finder</w:t>
      </w:r>
    </w:p>
    <w:p>
      <w:pPr>
        <w:spacing w:before="60" w:after="100"/>
      </w:pPr>
      <w:r>
        <w:rPr>
          <w:rFonts w:ascii="Arial" w:cs="Arial" w:eastAsia="Arial" w:hAnsi="Arial"/>
          <w:color w:val="333333"/>
          <w:sz w:val="22"/>
          <w:szCs w:val="22"/>
        </w:rPr>
        <w:t xml:space="preserve">A free, well-regarded tool optimised for small charities. It is not a true database — it is a directory of links to other databases and funder websites. Its strength is breadth (100,000+ links) and its commitment to the small charity market, which the paid platforms underserve. Its weakness is quality inconsistency: users are clicking through to external sites rather than seeing normalised, verified grant data.</w:t>
      </w:r>
    </w:p>
    <w:p>
      <w:pPr>
        <w:pStyle w:val="Heading2"/>
        <w:spacing w:before="280" w:after="120"/>
      </w:pPr>
      <w:r>
        <w:rPr>
          <w:rFonts w:ascii="Arial" w:cs="Arial" w:eastAsia="Arial" w:hAnsi="Arial"/>
          <w:b/>
          <w:bCs/>
          <w:color w:val="1a3c2e"/>
          <w:sz w:val="26"/>
          <w:szCs w:val="26"/>
        </w:rPr>
        <w:t xml:space="preserve">UK Grant Finder Pro</w:t>
      </w:r>
    </w:p>
    <w:p>
      <w:pPr>
        <w:spacing w:before="60" w:after="100"/>
      </w:pPr>
      <w:r>
        <w:rPr>
          <w:rFonts w:ascii="Arial" w:cs="Arial" w:eastAsia="Arial" w:hAnsi="Arial"/>
          <w:color w:val="333333"/>
          <w:sz w:val="22"/>
          <w:szCs w:val="22"/>
        </w:rPr>
        <w:t xml:space="preserve">A newer, AI-adjacent competitor at a modest price point (£20–50/month). Offers weekly personalised email digests and basic AI-written draft sections. It is the closest competitor in spirit to Grant Tracker, but is fundamentally a notification and drafting service — no pipeline, no deep search, and a small curated pool. It signals that the market is moving toward AI-assisted grant finding.</w:t>
      </w:r>
    </w:p>
    <w:p>
      <w:pPr>
        <w:pStyle w:val="Heading2"/>
        <w:spacing w:before="280" w:after="120"/>
      </w:pPr>
      <w:r>
        <w:rPr>
          <w:rFonts w:ascii="Arial" w:cs="Arial" w:eastAsia="Arial" w:hAnsi="Arial"/>
          <w:b/>
          <w:bCs/>
          <w:color w:val="1a3c2e"/>
          <w:sz w:val="26"/>
          <w:szCs w:val="26"/>
        </w:rPr>
        <w:t xml:space="preserve">Turn2us &amp; 360Giving</w:t>
      </w:r>
    </w:p>
    <w:p>
      <w:pPr>
        <w:spacing w:before="60" w:after="100"/>
      </w:pPr>
      <w:r>
        <w:rPr>
          <w:rFonts w:ascii="Arial" w:cs="Arial" w:eastAsia="Arial" w:hAnsi="Arial"/>
          <w:color w:val="333333"/>
          <w:sz w:val="22"/>
          <w:szCs w:val="22"/>
        </w:rPr>
        <w:t xml:space="preserve">Turn2us focuses on grants for individuals and charities supporting people in need — it is not a direct competitor. 360Giving is a data transparency platform for analysing historic grant-making, useful for funder research rather than active grant-seeking.</w:t>
      </w:r>
    </w:p>
    <w:p>
      <w:r>
        <w:br w:type="page"/>
      </w:r>
    </w:p>
    <w:p>
      <w:pPr>
        <w:pStyle w:val="Heading1"/>
        <w:pBdr>
          <w:bottom w:val="single" w:color="c9a84c" w:sz="8" w:space="4"/>
        </w:pBdr>
        <w:spacing w:before="360" w:after="160"/>
      </w:pPr>
      <w:r>
        <w:rPr>
          <w:rFonts w:ascii="Arial" w:cs="Arial" w:eastAsia="Arial" w:hAnsi="Arial"/>
          <w:b/>
          <w:bCs/>
          <w:color w:val="1a3c2e"/>
          <w:sz w:val="32"/>
          <w:szCs w:val="32"/>
        </w:rPr>
        <w:t xml:space="preserve">Where Grant Tracker Stands Out</w:t>
      </w:r>
    </w:p>
    <w:p>
      <w:pPr>
        <w:spacing w:before="60" w:after="100"/>
      </w:pPr>
      <w:r>
        <w:rPr>
          <w:rFonts w:ascii="Arial" w:cs="Arial" w:eastAsia="Arial" w:hAnsi="Arial"/>
          <w:color w:val="333333"/>
          <w:sz w:val="22"/>
          <w:szCs w:val="22"/>
        </w:rPr>
        <w:t xml:space="preserve">Grant Tracker has four genuine differentiators that none of the established competitors offer.</w:t>
      </w:r>
    </w:p>
    <w:p>
      <w:pPr>
        <w:spacing w:before="160" w:after="0"/>
      </w:pPr>
      <w:r>
        <w:t xml:space="preserve"/>
      </w:r>
    </w:p>
    <w:p>
      <w:pPr>
        <w:pStyle w:val="Heading2"/>
        <w:spacing w:before="280" w:after="120"/>
      </w:pPr>
      <w:r>
        <w:rPr>
          <w:rFonts w:ascii="Arial" w:cs="Arial" w:eastAsia="Arial" w:hAnsi="Arial"/>
          <w:b/>
          <w:bCs/>
          <w:color w:val="1a3c2e"/>
          <w:sz w:val="26"/>
          <w:szCs w:val="26"/>
        </w:rPr>
        <w:t xml:space="preserve">1. The Only Integrated Discovery + Pipeline Tool</w:t>
      </w:r>
    </w:p>
    <w:p>
      <w:pPr>
        <w:spacing w:before="60" w:after="100"/>
      </w:pPr>
      <w:r>
        <w:rPr>
          <w:rFonts w:ascii="Arial" w:cs="Arial" w:eastAsia="Arial" w:hAnsi="Arial"/>
          <w:color w:val="333333"/>
          <w:sz w:val="22"/>
          <w:szCs w:val="22"/>
        </w:rPr>
        <w:t xml:space="preserve">Every competitor is either a discovery tool or a workflow tool. None combine both. When a fundraiser uses GrantFinder or Grants Online, they find a grant, copy the details into a spreadsheet, and manage their applications in Google Sheets or Excel. The workflow is fragmented.</w:t>
      </w:r>
    </w:p>
    <w:p>
      <w:pPr>
        <w:spacing w:before="60" w:after="100"/>
      </w:pPr>
      <w:r>
        <w:rPr>
          <w:rFonts w:ascii="Arial" w:cs="Arial" w:eastAsia="Arial" w:hAnsi="Arial"/>
          <w:color w:val="333333"/>
          <w:sz w:val="22"/>
          <w:szCs w:val="22"/>
        </w:rPr>
        <w:t xml:space="preserve">Grant Tracker's kanban pipeline — with drag-and-drop stages, deadline tracking, writing progress, and notes — is a meaningful step beyond any competitor. For a fundraiser managing 10–20 active applications, having everything in one place saves real time and reduces dropped balls.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2"/>
              <w:bottom w:val="single" w:color="1d4ed8" w:sz="1"/>
              <w:right w:val="single" w:color="1d4ed8" w:sz="1"/>
            </w:tcBorders>
            <w:shd w:fill="EEF4FB" w:val="clear"/>
            <w:tcMar>
              <w:top w:type="dxa" w:w="120"/>
              <w:left w:type="dxa" w:w="200"/>
              <w:bottom w:type="dxa" w:w="120"/>
              <w:right w:type="dxa" w:w="200"/>
            </w:tcMar>
          </w:tcPr>
          <w:p>
            <w:pPr>
              <w:spacing w:before="0" w:after="60"/>
            </w:pPr>
            <w:r>
              <w:rPr>
                <w:rFonts w:ascii="Arial" w:cs="Arial" w:eastAsia="Arial" w:hAnsi="Arial"/>
                <w:b/>
                <w:bCs/>
                <w:color w:val="1d4ed8"/>
                <w:sz w:val="20"/>
                <w:szCs w:val="20"/>
              </w:rPr>
              <w:t xml:space="preserve">Competitive moat</w:t>
            </w:r>
          </w:p>
          <w:p>
            <w:pPr>
              <w:spacing w:before="0" w:after="0"/>
            </w:pPr>
            <w:r>
              <w:rPr>
                <w:rFonts w:ascii="Arial" w:cs="Arial" w:eastAsia="Arial" w:hAnsi="Arial"/>
                <w:color w:val="333333"/>
                <w:sz w:val="20"/>
                <w:szCs w:val="20"/>
              </w:rPr>
              <w:t xml:space="preserve">No competitor has built a pipeline. This is the single most defensible feature Grant Tracker has, and it should be the centrepiece of all marketing.</w:t>
            </w:r>
          </w:p>
        </w:tc>
      </w:tr>
    </w:tbl>
    <w:p>
      <w:pPr>
        <w:spacing w:before="160" w:after="0"/>
      </w:pPr>
      <w:r>
        <w:t xml:space="preserve"/>
      </w:r>
    </w:p>
    <w:p>
      <w:pPr>
        <w:pStyle w:val="Heading2"/>
        <w:spacing w:before="280" w:after="120"/>
      </w:pPr>
      <w:r>
        <w:rPr>
          <w:rFonts w:ascii="Arial" w:cs="Arial" w:eastAsia="Arial" w:hAnsi="Arial"/>
          <w:b/>
          <w:bCs/>
          <w:color w:val="1a3c2e"/>
          <w:sz w:val="26"/>
          <w:szCs w:val="26"/>
        </w:rPr>
        <w:t xml:space="preserve">2. AI-Powered Semantic Search</w:t>
      </w:r>
    </w:p>
    <w:p>
      <w:pPr>
        <w:spacing w:before="60" w:after="100"/>
      </w:pPr>
      <w:r>
        <w:rPr>
          <w:rFonts w:ascii="Arial" w:cs="Arial" w:eastAsia="Arial" w:hAnsi="Arial"/>
          <w:color w:val="333333"/>
          <w:sz w:val="22"/>
          <w:szCs w:val="22"/>
        </w:rPr>
        <w:t xml:space="preserve">GrantFinder and Grants Online use keyword and filter-based search. A fundraiser must know what they are looking for — the right sector tags, the right funder type. Grant Tracker's AI search understands intent. A search for "we support isolated elderly people in rural Shropshire" returns relevance-scored results with reasoning, in a way that keyword search cannot.</w:t>
      </w:r>
    </w:p>
    <w:p>
      <w:pPr>
        <w:spacing w:before="60" w:after="100"/>
      </w:pPr>
      <w:r>
        <w:rPr>
          <w:rFonts w:ascii="Arial" w:cs="Arial" w:eastAsia="Arial" w:hAnsi="Arial"/>
          <w:color w:val="333333"/>
          <w:sz w:val="22"/>
          <w:szCs w:val="22"/>
        </w:rPr>
        <w:t xml:space="preserve">This is especially valuable for small charities whose work crosses multiple sectors (e.g. mental health + housing + employment) and who struggle to find themselves in rigid category filters.</w:t>
      </w:r>
    </w:p>
    <w:p>
      <w:pPr>
        <w:pStyle w:val="Heading2"/>
        <w:spacing w:before="280" w:after="120"/>
      </w:pPr>
      <w:r>
        <w:rPr>
          <w:rFonts w:ascii="Arial" w:cs="Arial" w:eastAsia="Arial" w:hAnsi="Arial"/>
          <w:b/>
          <w:bCs/>
          <w:color w:val="1a3c2e"/>
          <w:sz w:val="26"/>
          <w:szCs w:val="26"/>
        </w:rPr>
        <w:t xml:space="preserve">3. Live Deep Search</w:t>
      </w:r>
    </w:p>
    <w:p>
      <w:pPr>
        <w:spacing w:before="60" w:after="100"/>
      </w:pPr>
      <w:r>
        <w:rPr>
          <w:rFonts w:ascii="Arial" w:cs="Arial" w:eastAsia="Arial" w:hAnsi="Arial"/>
          <w:color w:val="333333"/>
          <w:sz w:val="22"/>
          <w:szCs w:val="22"/>
        </w:rPr>
        <w:t xml:space="preserve">Grant Tracker's Deep Search feature goes beyond the curated database to find live funding opportunities on the web in real time. No competitor offers this. For niche funders, recently opened rounds, or hyper-local opportunities that would never make it into a curated database, Deep Search provides a unique capability.</w:t>
      </w:r>
    </w:p>
    <w:p>
      <w:pPr>
        <w:pStyle w:val="Heading2"/>
        <w:spacing w:before="280" w:after="120"/>
      </w:pPr>
      <w:r>
        <w:rPr>
          <w:rFonts w:ascii="Arial" w:cs="Arial" w:eastAsia="Arial" w:hAnsi="Arial"/>
          <w:b/>
          <w:bCs/>
          <w:color w:val="1a3c2e"/>
          <w:sz w:val="26"/>
          <w:szCs w:val="26"/>
        </w:rPr>
        <w:t xml:space="preserve">4. Modern, Accessible UI</w:t>
      </w:r>
    </w:p>
    <w:p>
      <w:pPr>
        <w:spacing w:before="60" w:after="100"/>
      </w:pPr>
      <w:r>
        <w:rPr>
          <w:rFonts w:ascii="Arial" w:cs="Arial" w:eastAsia="Arial" w:hAnsi="Arial"/>
          <w:color w:val="333333"/>
          <w:sz w:val="22"/>
          <w:szCs w:val="22"/>
        </w:rPr>
        <w:t xml:space="preserve">The existing platforms — particularly GrantFinder and Grants Online — were built in the 2000s and look it. Their UIs are functional but dense, intimidating, and require training to use effectively. Grant Tracker's clean interface, earthy palette, and card-based layout feel genuinely modern. For the small charity market (often volunteers, part-time staff, limited digital confidence), this matters enormously.</w:t>
      </w:r>
    </w:p>
    <w:p>
      <w:pPr>
        <w:spacing w:before="60" w:after="100"/>
      </w:pPr>
      <w:r>
        <w:rPr>
          <w:rFonts w:ascii="Arial" w:cs="Arial" w:eastAsia="Arial" w:hAnsi="Arial"/>
          <w:color w:val="333333"/>
          <w:sz w:val="22"/>
          <w:szCs w:val="22"/>
        </w:rPr>
        <w:t xml:space="preserve">Charity Excellence is free and widely used, but its interface is a series of links and spreadsheets — it is not a product experience. Grant Tracker already offers a more polished experience than anything in the free tier.</w:t>
      </w:r>
    </w:p>
    <w:p>
      <w:pPr>
        <w:pStyle w:val="Heading2"/>
        <w:spacing w:before="280" w:after="120"/>
      </w:pPr>
      <w:r>
        <w:rPr>
          <w:rFonts w:ascii="Arial" w:cs="Arial" w:eastAsia="Arial" w:hAnsi="Arial"/>
          <w:b/>
          <w:bCs/>
          <w:color w:val="1a3c2e"/>
          <w:sz w:val="26"/>
          <w:szCs w:val="26"/>
        </w:rPr>
        <w:t xml:space="preserve">5. Free Tier</w:t>
      </w:r>
    </w:p>
    <w:p>
      <w:pPr>
        <w:spacing w:before="60" w:after="100"/>
      </w:pPr>
      <w:r>
        <w:rPr>
          <w:rFonts w:ascii="Arial" w:cs="Arial" w:eastAsia="Arial" w:hAnsi="Arial"/>
          <w:color w:val="333333"/>
          <w:sz w:val="22"/>
          <w:szCs w:val="22"/>
        </w:rPr>
        <w:t xml:space="preserve">Grant Tracker is currently free. In a sector where organisations are under sustained financial pressure — 74% of VCSE organisations say grant funding is mission-critical (Idox/GrantFinder Pulse Survey 2025) — the free tier is a genuine acquisition advantage. The paid tools (GrantFinder, Grants Online, Grant Finder Pro) all require a subscription commitment that many small charities cannot justify before they have seen value.</w:t>
      </w:r>
    </w:p>
    <w:p>
      <w:r>
        <w:br w:type="page"/>
      </w:r>
    </w:p>
    <w:p>
      <w:pPr>
        <w:pStyle w:val="Heading1"/>
        <w:pBdr>
          <w:bottom w:val="single" w:color="c9a84c" w:sz="8" w:space="4"/>
        </w:pBdr>
        <w:spacing w:before="360" w:after="160"/>
      </w:pPr>
      <w:r>
        <w:rPr>
          <w:rFonts w:ascii="Arial" w:cs="Arial" w:eastAsia="Arial" w:hAnsi="Arial"/>
          <w:b/>
          <w:bCs/>
          <w:color w:val="1a3c2e"/>
          <w:sz w:val="32"/>
          <w:szCs w:val="32"/>
        </w:rPr>
        <w:t xml:space="preserve">Where Grant Tracker Falls Short</w:t>
      </w:r>
    </w:p>
    <w:p>
      <w:pPr>
        <w:spacing w:before="60" w:after="100"/>
      </w:pPr>
      <w:r>
        <w:rPr>
          <w:rFonts w:ascii="Arial" w:cs="Arial" w:eastAsia="Arial" w:hAnsi="Arial"/>
          <w:color w:val="333333"/>
          <w:sz w:val="22"/>
          <w:szCs w:val="22"/>
        </w:rPr>
        <w:t xml:space="preserve">There are four material gaps that limit Grant Tracker's ability to become a daily-use tool for professional fundraisers.</w:t>
      </w:r>
    </w:p>
    <w:p>
      <w:pPr>
        <w:spacing w:before="160" w:after="0"/>
      </w:pPr>
      <w:r>
        <w:t xml:space="preserve"/>
      </w:r>
    </w:p>
    <w:p>
      <w:pPr>
        <w:pStyle w:val="Heading2"/>
        <w:spacing w:before="280" w:after="120"/>
      </w:pPr>
      <w:r>
        <w:rPr>
          <w:rFonts w:ascii="Arial" w:cs="Arial" w:eastAsia="Arial" w:hAnsi="Arial"/>
          <w:b/>
          <w:bCs/>
          <w:color w:val="1a3c2e"/>
          <w:sz w:val="26"/>
          <w:szCs w:val="26"/>
        </w:rPr>
        <w:t xml:space="preserve">1. Database Size — The Biggest Gap</w:t>
      </w:r>
    </w:p>
    <w:p>
      <w:pPr>
        <w:spacing w:before="60" w:after="100"/>
      </w:pPr>
      <w:r>
        <w:rPr>
          <w:rFonts w:ascii="Arial" w:cs="Arial" w:eastAsia="Arial" w:hAnsi="Arial"/>
          <w:color w:val="333333"/>
          <w:sz w:val="22"/>
          <w:szCs w:val="22"/>
        </w:rPr>
        <w:t xml:space="preserve">At 199 grants, the curated pool is too small to be the primary discovery tool for most organisations. A fundraiser who doesn't find what they need in the AI search will leave the platform rather than explore further. The benchmarks are stark:</w:t>
      </w:r>
    </w:p>
    <w:p>
      <w:pPr>
        <w:spacing w:before="8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tblGrid>
      <w:tr>
        <w:tc>
          <w:tcPr>
            <w:tcW w:type="dxa" w:w="3600"/>
            <w:tcBorders>
              <w:top w:val="single" w:color="1a3c2e" w:sz="1"/>
              <w:left w:val="single" w:color="1a3c2e" w:sz="1"/>
              <w:bottom w:val="single" w:color="1a3c2e" w:sz="1"/>
              <w:right w:val="single" w:color="1a3c2e" w:sz="1"/>
            </w:tcBorders>
            <w:shd w:fill="1a3c2e" w:val="clear"/>
            <w:tcMar>
              <w:top w:type="dxa" w:w="80"/>
              <w:left w:type="dxa" w:w="160"/>
              <w:bottom w:type="dxa" w:w="80"/>
              <w:right w:type="dxa" w:w="160"/>
            </w:tcMar>
          </w:tcPr>
          <w:p>
            <w:r>
              <w:rPr>
                <w:rFonts w:ascii="Arial" w:cs="Arial" w:eastAsia="Arial" w:hAnsi="Arial"/>
                <w:b/>
                <w:bCs/>
                <w:color w:val="FFFFFF"/>
                <w:sz w:val="20"/>
                <w:szCs w:val="20"/>
              </w:rPr>
              <w:t xml:space="preserve">Platform</w:t>
            </w:r>
          </w:p>
        </w:tc>
        <w:tc>
          <w:tcPr>
            <w:tcW w:type="dxa" w:w="2400"/>
            <w:tcBorders>
              <w:top w:val="single" w:color="1a3c2e" w:sz="1"/>
              <w:left w:val="single" w:color="1a3c2e" w:sz="1"/>
              <w:bottom w:val="single" w:color="1a3c2e" w:sz="1"/>
              <w:right w:val="single" w:color="1a3c2e" w:sz="1"/>
            </w:tcBorders>
            <w:shd w:fill="1a3c2e"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Grant Records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Idox GrantFinder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333333"/>
                <w:sz w:val="20"/>
                <w:szCs w:val="20"/>
              </w:rPr>
              <w:t xml:space="preserve">8,500+</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60"/>
              <w:bottom w:type="dxa" w:w="80"/>
              <w:right w:type="dxa" w:w="160"/>
            </w:tcMar>
          </w:tcPr>
          <w:p>
            <w:r>
              <w:rPr>
                <w:rFonts w:ascii="Arial" w:cs="Arial" w:eastAsia="Arial" w:hAnsi="Arial"/>
                <w:b w:val="false"/>
                <w:bCs w:val="false"/>
                <w:color w:val="333333"/>
                <w:sz w:val="20"/>
                <w:szCs w:val="20"/>
              </w:rPr>
              <w:t xml:space="preserve">Turn2us</w:t>
            </w:r>
          </w:p>
        </w:tc>
        <w:tc>
          <w:tcPr>
            <w:tcW w:type="dxa" w:w="2400"/>
            <w:tcBorders>
              <w:top w:val="single" w:color="CCCCCC" w:sz="1"/>
              <w:left w:val="single" w:color="CCCCCC" w:sz="1"/>
              <w:bottom w:val="single" w:color="CCCCCC" w:sz="1"/>
              <w:right w:val="single" w:color="CCCCCC" w:sz="1"/>
            </w:tcBorders>
            <w:shd w:fill="F9F9F9" w:val="clear"/>
            <w:tcMar>
              <w:top w:type="dxa" w:w="80"/>
              <w:left w:type="dxa" w:w="160"/>
              <w:bottom w:type="dxa" w:w="80"/>
              <w:right w:type="dxa" w:w="160"/>
            </w:tcMar>
          </w:tcPr>
          <w:p>
            <w:pPr>
              <w:jc w:val="center"/>
            </w:pPr>
            <w:r>
              <w:rPr>
                <w:rFonts w:ascii="Arial" w:cs="Arial" w:eastAsia="Arial" w:hAnsi="Arial"/>
                <w:b w:val="false"/>
                <w:bCs w:val="false"/>
                <w:color w:val="333333"/>
                <w:sz w:val="20"/>
                <w:szCs w:val="20"/>
              </w:rPr>
              <w:t xml:space="preserve">3,000+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Charity Excellence (links)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333333"/>
                <w:sz w:val="20"/>
                <w:szCs w:val="20"/>
              </w:rPr>
              <w:t xml:space="preserve">100,000+ (links)</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60"/>
              <w:bottom w:type="dxa" w:w="80"/>
              <w:right w:type="dxa" w:w="160"/>
            </w:tcMar>
          </w:tcPr>
          <w:p>
            <w:r>
              <w:rPr>
                <w:rFonts w:ascii="Arial" w:cs="Arial" w:eastAsia="Arial" w:hAnsi="Arial"/>
                <w:b w:val="false"/>
                <w:bCs w:val="false"/>
                <w:color w:val="333333"/>
                <w:sz w:val="20"/>
                <w:szCs w:val="20"/>
              </w:rPr>
              <w:t xml:space="preserve">Grant Finder Pro</w:t>
            </w:r>
          </w:p>
        </w:tc>
        <w:tc>
          <w:tcPr>
            <w:tcW w:type="dxa" w:w="2400"/>
            <w:tcBorders>
              <w:top w:val="single" w:color="CCCCCC" w:sz="1"/>
              <w:left w:val="single" w:color="CCCCCC" w:sz="1"/>
              <w:bottom w:val="single" w:color="CCCCCC" w:sz="1"/>
              <w:right w:val="single" w:color="CCCCCC" w:sz="1"/>
            </w:tcBorders>
            <w:shd w:fill="F9F9F9" w:val="clear"/>
            <w:tcMar>
              <w:top w:type="dxa" w:w="80"/>
              <w:left w:type="dxa" w:w="160"/>
              <w:bottom w:type="dxa" w:w="80"/>
              <w:right w:type="dxa" w:w="160"/>
            </w:tcMar>
          </w:tcPr>
          <w:p>
            <w:pPr>
              <w:jc w:val="center"/>
            </w:pPr>
            <w:r>
              <w:rPr>
                <w:rFonts w:ascii="Arial" w:cs="Arial" w:eastAsia="Arial" w:hAnsi="Arial"/>
                <w:b w:val="false"/>
                <w:bCs w:val="false"/>
                <w:color w:val="333333"/>
                <w:sz w:val="20"/>
                <w:szCs w:val="20"/>
              </w:rPr>
              <w:t xml:space="preserve">~500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c0392b"/>
                <w:sz w:val="20"/>
                <w:szCs w:val="20"/>
              </w:rPr>
              <w:t xml:space="preserve">Grant Tracker (current)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c0392b"/>
                <w:sz w:val="20"/>
                <w:szCs w:val="20"/>
              </w:rPr>
              <w:t xml:space="preserve">199</w:t>
            </w:r>
          </w:p>
        </w:tc>
      </w:tr>
    </w:tbl>
    <w:p>
      <w:pPr>
        <w:spacing w:before="200" w:after="0"/>
      </w:pPr>
      <w:r>
        <w:t xml:space="preserve"/>
      </w:r>
    </w:p>
    <w:p>
      <w:pPr>
        <w:spacing w:before="60" w:after="100"/>
      </w:pPr>
      <w:r>
        <w:rPr>
          <w:rFonts w:ascii="Arial" w:cs="Arial" w:eastAsia="Arial" w:hAnsi="Arial"/>
          <w:color w:val="333333"/>
          <w:sz w:val="22"/>
          <w:szCs w:val="22"/>
        </w:rPr>
        <w:t xml:space="preserve">The Deep Search feature partially compensates for the small database — it can find live opportunities the curated pool lacks. But it requires an internet-connected AI call every time and is not browsable. The curated pool needs to grow to at least 500–1,000 well-maintained records to be useful as a standalone discovery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2"/>
              <w:bottom w:val="single" w:color="c9a84c" w:sz="1"/>
              <w:right w:val="single" w:color="c9a84c" w:sz="1"/>
            </w:tcBorders>
            <w:shd w:fill="FFF8E1" w:val="clear"/>
            <w:tcMar>
              <w:top w:type="dxa" w:w="120"/>
              <w:left w:type="dxa" w:w="200"/>
              <w:bottom w:type="dxa" w:w="120"/>
              <w:right w:type="dxa" w:w="200"/>
            </w:tcMar>
          </w:tcPr>
          <w:p>
            <w:pPr>
              <w:spacing w:before="0" w:after="60"/>
            </w:pPr>
            <w:r>
              <w:rPr>
                <w:rFonts w:ascii="Arial" w:cs="Arial" w:eastAsia="Arial" w:hAnsi="Arial"/>
                <w:b/>
                <w:bCs/>
                <w:color w:val="c9a84c"/>
                <w:sz w:val="20"/>
                <w:szCs w:val="20"/>
              </w:rPr>
              <w:t xml:space="preserve">How to address it</w:t>
            </w:r>
          </w:p>
          <w:p>
            <w:pPr>
              <w:spacing w:before="0" w:after="0"/>
            </w:pPr>
            <w:r>
              <w:rPr>
                <w:rFonts w:ascii="Arial" w:cs="Arial" w:eastAsia="Arial" w:hAnsi="Arial"/>
                <w:color w:val="333333"/>
                <w:sz w:val="20"/>
                <w:szCs w:val="20"/>
              </w:rPr>
              <w:t xml:space="preserve">Prioritise the highest-coverage funders first: lottery distributors (TNLCF programmes), major trusts (Lloyds Bank, Garfield Weston, Esmée Fairbairn), all BBC Children in Need strands, Comic Relief, and the 100+ Community Foundations. A structured quarterly review process — even a simple spreadsheet — is needed to keep deadlines current.</w:t>
            </w:r>
          </w:p>
        </w:tc>
      </w:tr>
    </w:tbl>
    <w:p>
      <w:pPr>
        <w:spacing w:before="160" w:after="0"/>
      </w:pPr>
      <w:r>
        <w:t xml:space="preserve"/>
      </w:r>
    </w:p>
    <w:p>
      <w:pPr>
        <w:pStyle w:val="Heading2"/>
        <w:spacing w:before="280" w:after="120"/>
      </w:pPr>
      <w:r>
        <w:rPr>
          <w:rFonts w:ascii="Arial" w:cs="Arial" w:eastAsia="Arial" w:hAnsi="Arial"/>
          <w:b/>
          <w:bCs/>
          <w:color w:val="1a3c2e"/>
          <w:sz w:val="26"/>
          <w:szCs w:val="26"/>
        </w:rPr>
        <w:t xml:space="preserve">2. No Real-Time Data Maintenance</w:t>
      </w:r>
    </w:p>
    <w:p>
      <w:pPr>
        <w:spacing w:before="60" w:after="100"/>
      </w:pPr>
      <w:r>
        <w:rPr>
          <w:rFonts w:ascii="Arial" w:cs="Arial" w:eastAsia="Arial" w:hAnsi="Arial"/>
          <w:color w:val="333333"/>
          <w:sz w:val="22"/>
          <w:szCs w:val="22"/>
        </w:rPr>
        <w:t xml:space="preserve">The grant database is a static TypeScript file. There is no process to check whether funders have opened new rounds, changed their criteria, or closed programmes. A grant with a deadline that has passed — or worse, incorrect eligibility criteria — actively undermines trust.</w:t>
      </w:r>
    </w:p>
    <w:p>
      <w:pPr>
        <w:spacing w:before="60" w:after="100"/>
      </w:pPr>
      <w:r>
        <w:rPr>
          <w:rFonts w:ascii="Arial" w:cs="Arial" w:eastAsia="Arial" w:hAnsi="Arial"/>
          <w:color w:val="333333"/>
          <w:sz w:val="22"/>
          <w:szCs w:val="22"/>
        </w:rPr>
        <w:t xml:space="preserve">Competitors invest significantly in their research teams precisely because stale data erodes user confidence faster than almost anything else. For Grant Tracker to scale, it needs either a manual review cadence (quarterly per grant) or a semi-automated approach using web monitoring.</w:t>
      </w:r>
    </w:p>
    <w:p>
      <w:pPr>
        <w:pStyle w:val="Heading2"/>
        <w:spacing w:before="280" w:after="120"/>
      </w:pPr>
      <w:r>
        <w:rPr>
          <w:rFonts w:ascii="Arial" w:cs="Arial" w:eastAsia="Arial" w:hAnsi="Arial"/>
          <w:b/>
          <w:bCs/>
          <w:color w:val="1a3c2e"/>
          <w:sz w:val="26"/>
          <w:szCs w:val="26"/>
        </w:rPr>
        <w:t xml:space="preserve">3. Missing Workflow Features</w:t>
      </w:r>
    </w:p>
    <w:p>
      <w:pPr>
        <w:spacing w:before="60" w:after="100"/>
      </w:pPr>
      <w:r>
        <w:rPr>
          <w:rFonts w:ascii="Arial" w:cs="Arial" w:eastAsia="Arial" w:hAnsi="Arial"/>
          <w:color w:val="333333"/>
          <w:sz w:val="22"/>
          <w:szCs w:val="22"/>
        </w:rPr>
        <w:t xml:space="preserve">Several features that fundraisers rely on daily are absent from Grant Tracker but present in at least one competitor:</w:t>
      </w:r>
    </w:p>
    <w:p>
      <w:pPr>
        <w:spacing w:before="80" w:after="0"/>
      </w:pPr>
      <w:r>
        <w:t xml:space="preserve"/>
      </w:r>
    </w:p>
    <w:p>
      <w:pPr>
        <w:pStyle w:val="ListParagraph"/>
        <w:numPr>
          <w:ilvl w:val="0"/>
          <w:numId w:val="2"/>
        </w:numPr>
        <w:spacing w:before="40" w:after="40"/>
      </w:pPr>
      <w:r>
        <w:rPr>
          <w:rFonts w:ascii="Arial" w:cs="Arial" w:eastAsia="Arial" w:hAnsi="Arial"/>
          <w:b/>
          <w:bCs/>
          <w:color w:val="111111"/>
          <w:sz w:val="22"/>
          <w:szCs w:val="22"/>
        </w:rPr>
        <w:t xml:space="preserve">Email deadline reminders: </w:t>
      </w:r>
      <w:r>
        <w:rPr>
          <w:rFonts w:ascii="Arial" w:cs="Arial" w:eastAsia="Arial" w:hAnsi="Arial"/>
          <w:color w:val="333333"/>
          <w:sz w:val="22"/>
          <w:szCs w:val="22"/>
        </w:rPr>
        <w:t xml:space="preserve">Grant Finder Pro and Grants Online both email users about approaching deadlines. Grant Tracker has no notification system outside the app.</w:t>
      </w:r>
    </w:p>
    <w:p>
      <w:pPr>
        <w:pStyle w:val="ListParagraph"/>
        <w:numPr>
          <w:ilvl w:val="0"/>
          <w:numId w:val="2"/>
        </w:numPr>
        <w:spacing w:before="40" w:after="40"/>
      </w:pPr>
      <w:r>
        <w:rPr>
          <w:rFonts w:ascii="Arial" w:cs="Arial" w:eastAsia="Arial" w:hAnsi="Arial"/>
          <w:b/>
          <w:bCs/>
          <w:color w:val="111111"/>
          <w:sz w:val="22"/>
          <w:szCs w:val="22"/>
        </w:rPr>
        <w:t xml:space="preserve">Export to CSV/PDF: </w:t>
      </w:r>
      <w:r>
        <w:rPr>
          <w:rFonts w:ascii="Arial" w:cs="Arial" w:eastAsia="Arial" w:hAnsi="Arial"/>
          <w:color w:val="333333"/>
          <w:sz w:val="22"/>
          <w:szCs w:val="22"/>
        </w:rPr>
        <w:t xml:space="preserve">Fundraisers regularly share their pipeline with trustees and colleagues. Without an export function, Grant Tracker cannot fit into existing reporting workflows.</w:t>
      </w:r>
    </w:p>
    <w:p>
      <w:pPr>
        <w:pStyle w:val="ListParagraph"/>
        <w:numPr>
          <w:ilvl w:val="0"/>
          <w:numId w:val="2"/>
        </w:numPr>
        <w:spacing w:before="40" w:after="40"/>
      </w:pPr>
      <w:r>
        <w:rPr>
          <w:rFonts w:ascii="Arial" w:cs="Arial" w:eastAsia="Arial" w:hAnsi="Arial"/>
          <w:b/>
          <w:bCs/>
          <w:color w:val="111111"/>
          <w:sz w:val="22"/>
          <w:szCs w:val="22"/>
        </w:rPr>
        <w:t xml:space="preserve">Team access: </w:t>
      </w:r>
      <w:r>
        <w:rPr>
          <w:rFonts w:ascii="Arial" w:cs="Arial" w:eastAsia="Arial" w:hAnsi="Arial"/>
          <w:color w:val="333333"/>
          <w:sz w:val="22"/>
          <w:szCs w:val="22"/>
        </w:rPr>
        <w:t xml:space="preserve">Most charities have more than one person involved in fundraising. Grant Tracker is single-user only, making it unsuitable for teams.</w:t>
      </w:r>
    </w:p>
    <w:p>
      <w:pPr>
        <w:pStyle w:val="ListParagraph"/>
        <w:numPr>
          <w:ilvl w:val="0"/>
          <w:numId w:val="2"/>
        </w:numPr>
        <w:spacing w:before="40" w:after="40"/>
      </w:pPr>
      <w:r>
        <w:rPr>
          <w:rFonts w:ascii="Arial" w:cs="Arial" w:eastAsia="Arial" w:hAnsi="Arial"/>
          <w:b/>
          <w:bCs/>
          <w:color w:val="111111"/>
          <w:sz w:val="22"/>
          <w:szCs w:val="22"/>
        </w:rPr>
        <w:t xml:space="preserve">AI-assisted drafting: </w:t>
      </w:r>
      <w:r>
        <w:rPr>
          <w:rFonts w:ascii="Arial" w:cs="Arial" w:eastAsia="Arial" w:hAnsi="Arial"/>
          <w:color w:val="333333"/>
          <w:sz w:val="22"/>
          <w:szCs w:val="22"/>
        </w:rPr>
        <w:t xml:space="preserve">Grant Finder Pro generates basic application drafts. This is a growing expectation in the market, even if current AI drafts are generic.</w:t>
      </w:r>
    </w:p>
    <w:p>
      <w:pPr>
        <w:spacing w:before="80" w:after="0"/>
      </w:pPr>
      <w:r>
        <w:t xml:space="preserve"/>
      </w:r>
    </w:p>
    <w:p>
      <w:pPr>
        <w:pStyle w:val="Heading2"/>
        <w:spacing w:before="280" w:after="120"/>
      </w:pPr>
      <w:r>
        <w:rPr>
          <w:rFonts w:ascii="Arial" w:cs="Arial" w:eastAsia="Arial" w:hAnsi="Arial"/>
          <w:b/>
          <w:bCs/>
          <w:color w:val="1a3c2e"/>
          <w:sz w:val="26"/>
          <w:szCs w:val="26"/>
        </w:rPr>
        <w:t xml:space="preserve">4. No Track Record or Social Proof</w:t>
      </w:r>
    </w:p>
    <w:p>
      <w:pPr>
        <w:spacing w:before="60" w:after="100"/>
      </w:pPr>
      <w:r>
        <w:rPr>
          <w:rFonts w:ascii="Arial" w:cs="Arial" w:eastAsia="Arial" w:hAnsi="Arial"/>
          <w:color w:val="333333"/>
          <w:sz w:val="22"/>
          <w:szCs w:val="22"/>
        </w:rPr>
        <w:t xml:space="preserve">Established platforms can point to years of operation, thousands of users, and quantified outcomes (e.g. "£X million secured by our users"). Grant Tracker has none of this yet. In a sector where decision-makers are cautious about adopting new tools, the absence of testimonials, case studies, or usage statistics is a meaningful barrier to conversion.</w:t>
      </w:r>
    </w:p>
    <w:p>
      <w:r>
        <w:br w:type="page"/>
      </w:r>
    </w:p>
    <w:p>
      <w:pPr>
        <w:pStyle w:val="Heading1"/>
        <w:pBdr>
          <w:bottom w:val="single" w:color="c9a84c" w:sz="8" w:space="4"/>
        </w:pBdr>
        <w:spacing w:before="360" w:after="160"/>
      </w:pPr>
      <w:r>
        <w:rPr>
          <w:rFonts w:ascii="Arial" w:cs="Arial" w:eastAsia="Arial" w:hAnsi="Arial"/>
          <w:b/>
          <w:bCs/>
          <w:color w:val="1a3c2e"/>
          <w:sz w:val="32"/>
          <w:szCs w:val="32"/>
        </w:rPr>
        <w:t xml:space="preserve">Feature Comparison Matrix</w:t>
      </w:r>
    </w:p>
    <w:p>
      <w:pPr>
        <w:spacing w:before="60" w:after="100"/>
      </w:pPr>
      <w:r>
        <w:rPr>
          <w:rFonts w:ascii="Arial" w:cs="Arial" w:eastAsia="Arial" w:hAnsi="Arial"/>
          <w:color w:val="333333"/>
          <w:sz w:val="22"/>
          <w:szCs w:val="22"/>
        </w:rPr>
        <w:t xml:space="preserve">The table below scores each platform across the features most relevant to a UK charity fundraiser. ✓ = available, ✗ = not available, ~ = partial or limited. Grant Tracker rows are shaded.</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52"/>
        <w:gridCol w:w="1352"/>
        <w:gridCol w:w="1352"/>
        <w:gridCol w:w="1352"/>
        <w:gridCol w:w="1352"/>
      </w:tblGrid>
      <w:tr>
        <w:tc>
          <w:tcPr>
            <w:tcW w:type="dxa" w:w="2600"/>
            <w:tcBorders>
              <w:top w:val="single" w:color="1a3c2e" w:sz="1"/>
              <w:left w:val="single" w:color="1a3c2e" w:sz="1"/>
              <w:bottom w:val="single" w:color="1a3c2e" w:sz="1"/>
              <w:right w:val="single" w:color="1a3c2e" w:sz="1"/>
            </w:tcBorders>
            <w:shd w:fill="1a3c2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Feature</w:t>
            </w:r>
          </w:p>
        </w:tc>
        <w:tc>
          <w:tcPr>
            <w:tcW w:type="dxa" w:w="1352"/>
            <w:tcBorders>
              <w:top w:val="single" w:color="1a3c2e" w:sz="1"/>
              <w:left w:val="single" w:color="1a3c2e" w:sz="1"/>
              <w:bottom w:val="single" w:color="1a3c2e" w:sz="1"/>
              <w:right w:val="single" w:color="1a3c2e" w:sz="1"/>
            </w:tcBorders>
            <w:shd w:fill="1a3c2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Idox
GrantFinder</w:t>
            </w:r>
          </w:p>
        </w:tc>
        <w:tc>
          <w:tcPr>
            <w:tcW w:type="dxa" w:w="1352"/>
            <w:tcBorders>
              <w:top w:val="single" w:color="1a3c2e" w:sz="1"/>
              <w:left w:val="single" w:color="1a3c2e" w:sz="1"/>
              <w:bottom w:val="single" w:color="1a3c2e" w:sz="1"/>
              <w:right w:val="single" w:color="1a3c2e" w:sz="1"/>
            </w:tcBorders>
            <w:shd w:fill="1a3c2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Grants
Online</w:t>
            </w:r>
          </w:p>
        </w:tc>
        <w:tc>
          <w:tcPr>
            <w:tcW w:type="dxa" w:w="1352"/>
            <w:tcBorders>
              <w:top w:val="single" w:color="1a3c2e" w:sz="1"/>
              <w:left w:val="single" w:color="1a3c2e" w:sz="1"/>
              <w:bottom w:val="single" w:color="1a3c2e" w:sz="1"/>
              <w:right w:val="single" w:color="1a3c2e" w:sz="1"/>
            </w:tcBorders>
            <w:shd w:fill="1a3c2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Charity
Excellence</w:t>
            </w:r>
          </w:p>
        </w:tc>
        <w:tc>
          <w:tcPr>
            <w:tcW w:type="dxa" w:w="1352"/>
            <w:tcBorders>
              <w:top w:val="single" w:color="1a3c2e" w:sz="1"/>
              <w:left w:val="single" w:color="1a3c2e" w:sz="1"/>
              <w:bottom w:val="single" w:color="1a3c2e" w:sz="1"/>
              <w:right w:val="single" w:color="1a3c2e" w:sz="1"/>
            </w:tcBorders>
            <w:shd w:fill="1a3c2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Grant
Finder Pro</w:t>
            </w:r>
          </w:p>
        </w:tc>
        <w:tc>
          <w:tcPr>
            <w:tcW w:type="dxa" w:w="1352"/>
            <w:tcBorders>
              <w:top w:val="single" w:color="1a3c2e" w:sz="1"/>
              <w:left w:val="single" w:color="1a3c2e" w:sz="1"/>
              <w:bottom w:val="single" w:color="1a3c2e" w:sz="1"/>
              <w:right w:val="single" w:color="1a3c2e" w:sz="1"/>
            </w:tcBorders>
            <w:shd w:fill="1a3c2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Grant
Tracker ✦</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18"/>
                <w:szCs w:val="18"/>
              </w:rPr>
              <w:t xml:space="preserve">Grant database size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8,500+</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2,000+</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Links only</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~500</w:t>
            </w:r>
          </w:p>
        </w:tc>
        <w:tc>
          <w:tcPr>
            <w:tcW w:type="dxa" w:w="1352"/>
            <w:tcBorders>
              <w:top w:val="single" w:color="CCCCCC" w:sz="1"/>
              <w:left w:val="single" w:color="CCCCCC" w:sz="1"/>
              <w:bottom w:val="single" w:color="CCCCCC" w:sz="1"/>
              <w:right w:val="single" w:color="CCCCCC" w:sz="1"/>
            </w:tcBorders>
            <w:shd w:fill="EEF6EF"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199 curated</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18"/>
                <w:szCs w:val="18"/>
              </w:rPr>
              <w:t xml:space="preserve">Real-time updates</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w:t>
            </w:r>
          </w:p>
        </w:tc>
        <w:tc>
          <w:tcPr>
            <w:tcW w:type="dxa" w:w="1352"/>
            <w:tcBorders>
              <w:top w:val="single" w:color="CCCCCC" w:sz="1"/>
              <w:left w:val="single" w:color="CCCCCC" w:sz="1"/>
              <w:bottom w:val="single" w:color="CCCCCC" w:sz="1"/>
              <w:right w:val="single" w:color="CCCCCC" w:sz="1"/>
            </w:tcBorders>
            <w:shd w:fill="EEF6EF"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Manual</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18"/>
                <w:szCs w:val="18"/>
              </w:rPr>
              <w:t xml:space="preserve">AI-powered search</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w:t>
            </w:r>
          </w:p>
        </w:tc>
        <w:tc>
          <w:tcPr>
            <w:tcW w:type="dxa" w:w="1352"/>
            <w:tcBorders>
              <w:top w:val="single" w:color="CCCCCC" w:sz="1"/>
              <w:left w:val="single" w:color="CCCCCC" w:sz="1"/>
              <w:bottom w:val="single" w:color="CCCCCC" w:sz="1"/>
              <w:right w:val="single" w:color="CCCCCC" w:sz="1"/>
            </w:tcBorders>
            <w:shd w:fill="EEF6EF"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18"/>
                <w:szCs w:val="18"/>
              </w:rPr>
              <w:t xml:space="preserve">Live web deep search</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c>
          <w:tcPr>
            <w:tcW w:type="dxa" w:w="1352"/>
            <w:tcBorders>
              <w:top w:val="single" w:color="CCCCCC" w:sz="1"/>
              <w:left w:val="single" w:color="CCCCCC" w:sz="1"/>
              <w:bottom w:val="single" w:color="CCCCCC" w:sz="1"/>
              <w:right w:val="single" w:color="CCCCCC" w:sz="1"/>
            </w:tcBorders>
            <w:shd w:fill="EEF6EF"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18"/>
                <w:szCs w:val="18"/>
              </w:rPr>
              <w:t xml:space="preserve">Application pipeline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c>
          <w:tcPr>
            <w:tcW w:type="dxa" w:w="1352"/>
            <w:tcBorders>
              <w:top w:val="single" w:color="CCCCCC" w:sz="1"/>
              <w:left w:val="single" w:color="CCCCCC" w:sz="1"/>
              <w:bottom w:val="single" w:color="CCCCCC" w:sz="1"/>
              <w:right w:val="single" w:color="CCCCCC" w:sz="1"/>
            </w:tcBorders>
            <w:shd w:fill="EEF6EF"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18"/>
                <w:szCs w:val="18"/>
              </w:rPr>
              <w:t xml:space="preserve">Writing stage tracking</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c>
          <w:tcPr>
            <w:tcW w:type="dxa" w:w="1352"/>
            <w:tcBorders>
              <w:top w:val="single" w:color="CCCCCC" w:sz="1"/>
              <w:left w:val="single" w:color="CCCCCC" w:sz="1"/>
              <w:bottom w:val="single" w:color="CCCCCC" w:sz="1"/>
              <w:right w:val="single" w:color="CCCCCC" w:sz="1"/>
            </w:tcBorders>
            <w:shd w:fill="EEF6EF"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18"/>
                <w:szCs w:val="18"/>
              </w:rPr>
              <w:t xml:space="preserve">Deadline reminders</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w:t>
            </w:r>
          </w:p>
        </w:tc>
        <w:tc>
          <w:tcPr>
            <w:tcW w:type="dxa" w:w="1352"/>
            <w:tcBorders>
              <w:top w:val="single" w:color="CCCCCC" w:sz="1"/>
              <w:left w:val="single" w:color="CCCCCC" w:sz="1"/>
              <w:bottom w:val="single" w:color="CCCCCC" w:sz="1"/>
              <w:right w:val="single" w:color="CCCCCC" w:sz="1"/>
            </w:tcBorders>
            <w:shd w:fill="EEF6E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18"/>
                <w:szCs w:val="18"/>
              </w:rPr>
              <w:t xml:space="preserve">AI draft writing</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w:t>
            </w:r>
          </w:p>
        </w:tc>
        <w:tc>
          <w:tcPr>
            <w:tcW w:type="dxa" w:w="1352"/>
            <w:tcBorders>
              <w:top w:val="single" w:color="CCCCCC" w:sz="1"/>
              <w:left w:val="single" w:color="CCCCCC" w:sz="1"/>
              <w:bottom w:val="single" w:color="CCCCCC" w:sz="1"/>
              <w:right w:val="single" w:color="CCCCCC" w:sz="1"/>
            </w:tcBorders>
            <w:shd w:fill="EEF6E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18"/>
                <w:szCs w:val="18"/>
              </w:rPr>
              <w:t xml:space="preserve">Team / multi-user</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c>
          <w:tcPr>
            <w:tcW w:type="dxa" w:w="1352"/>
            <w:tcBorders>
              <w:top w:val="single" w:color="CCCCCC" w:sz="1"/>
              <w:left w:val="single" w:color="CCCCCC" w:sz="1"/>
              <w:bottom w:val="single" w:color="CCCCCC" w:sz="1"/>
              <w:right w:val="single" w:color="CCCCCC" w:sz="1"/>
            </w:tcBorders>
            <w:shd w:fill="EEF6E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18"/>
                <w:szCs w:val="18"/>
              </w:rPr>
              <w:t xml:space="preserve">CSV / PDF export</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c>
          <w:tcPr>
            <w:tcW w:type="dxa" w:w="1352"/>
            <w:tcBorders>
              <w:top w:val="single" w:color="CCCCCC" w:sz="1"/>
              <w:left w:val="single" w:color="CCCCCC" w:sz="1"/>
              <w:bottom w:val="single" w:color="CCCCCC" w:sz="1"/>
              <w:right w:val="single" w:color="CCCCCC" w:sz="1"/>
            </w:tcBorders>
            <w:shd w:fill="EEF6E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18"/>
                <w:szCs w:val="18"/>
              </w:rPr>
              <w:t xml:space="preserve">Local / regional filter</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c>
          <w:tcPr>
            <w:tcW w:type="dxa" w:w="1352"/>
            <w:tcBorders>
              <w:top w:val="single" w:color="CCCCCC" w:sz="1"/>
              <w:left w:val="single" w:color="CCCCCC" w:sz="1"/>
              <w:bottom w:val="single" w:color="CCCCCC" w:sz="1"/>
              <w:right w:val="single" w:color="CCCCCC" w:sz="1"/>
            </w:tcBorders>
            <w:shd w:fill="EEF6EF"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18"/>
                <w:szCs w:val="18"/>
              </w:rPr>
              <w:t xml:space="preserve">Organisation profile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w:t>
            </w:r>
          </w:p>
        </w:tc>
        <w:tc>
          <w:tcPr>
            <w:tcW w:type="dxa" w:w="1352"/>
            <w:tcBorders>
              <w:top w:val="single" w:color="CCCCCC" w:sz="1"/>
              <w:left w:val="single" w:color="CCCCCC" w:sz="1"/>
              <w:bottom w:val="single" w:color="CCCCCC" w:sz="1"/>
              <w:right w:val="single" w:color="CCCCCC" w:sz="1"/>
            </w:tcBorders>
            <w:shd w:fill="EEF6EF"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 tier available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c>
          <w:tcPr>
            <w:tcW w:type="dxa" w:w="1352"/>
            <w:tcBorders>
              <w:top w:val="single" w:color="CCCCCC" w:sz="1"/>
              <w:left w:val="single" w:color="CCCCCC" w:sz="1"/>
              <w:bottom w:val="single" w:color="CCCCCC" w:sz="1"/>
              <w:right w:val="single" w:color="CCCCCC" w:sz="1"/>
            </w:tcBorders>
            <w:shd w:fill="EEF6EF"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18"/>
                <w:szCs w:val="18"/>
              </w:rPr>
              <w:t xml:space="preserve">Modern, clean UI</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w:t>
            </w:r>
          </w:p>
        </w:tc>
        <w:tc>
          <w:tcPr>
            <w:tcW w:type="dxa" w:w="1352"/>
            <w:tcBorders>
              <w:top w:val="single" w:color="CCCCCC" w:sz="1"/>
              <w:left w:val="single" w:color="CCCCCC" w:sz="1"/>
              <w:bottom w:val="single" w:color="CCCCCC" w:sz="1"/>
              <w:right w:val="single" w:color="CCCCCC" w:sz="1"/>
            </w:tcBorders>
            <w:shd w:fill="EEF6EF"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18"/>
                <w:szCs w:val="18"/>
              </w:rPr>
              <w:t xml:space="preserve">Cost</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Free</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£20–50/mo</w:t>
            </w:r>
          </w:p>
        </w:tc>
        <w:tc>
          <w:tcPr>
            <w:tcW w:type="dxa" w:w="1352"/>
            <w:tcBorders>
              <w:top w:val="single" w:color="CCCCCC" w:sz="1"/>
              <w:left w:val="single" w:color="CCCCCC" w:sz="1"/>
              <w:bottom w:val="single" w:color="CCCCCC" w:sz="1"/>
              <w:right w:val="single" w:color="CCCCCC" w:sz="1"/>
            </w:tcBorders>
            <w:shd w:fill="EEF6EF"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Free*</w:t>
            </w:r>
          </w:p>
        </w:tc>
      </w:tr>
    </w:tbl>
    <w:p>
      <w:pPr>
        <w:spacing w:before="160" w:after="0"/>
      </w:pPr>
      <w:r>
        <w:t xml:space="preserve"/>
      </w:r>
    </w:p>
    <w:p>
      <w:pPr>
        <w:spacing w:before="80" w:after="80"/>
      </w:pPr>
      <w:r>
        <w:rPr>
          <w:rFonts w:ascii="Arial" w:cs="Arial" w:eastAsia="Arial" w:hAnsi="Arial"/>
          <w:i/>
          <w:iCs/>
          <w:color w:val="6b7280"/>
          <w:sz w:val="18"/>
          <w:szCs w:val="18"/>
        </w:rPr>
        <w:t xml:space="preserve">* Grant Tracker is currently free. A freemium model with premium features (team access, email alerts, export) is a natural future monetisation path.</w:t>
      </w:r>
    </w:p>
    <w:p>
      <w:r>
        <w:br w:type="page"/>
      </w:r>
    </w:p>
    <w:p>
      <w:pPr>
        <w:pStyle w:val="Heading1"/>
        <w:pBdr>
          <w:bottom w:val="single" w:color="c9a84c" w:sz="8" w:space="4"/>
        </w:pBdr>
        <w:spacing w:before="360" w:after="160"/>
      </w:pPr>
      <w:r>
        <w:rPr>
          <w:rFonts w:ascii="Arial" w:cs="Arial" w:eastAsia="Arial" w:hAnsi="Arial"/>
          <w:b/>
          <w:bCs/>
          <w:color w:val="1a3c2e"/>
          <w:sz w:val="32"/>
          <w:szCs w:val="32"/>
        </w:rPr>
        <w:t xml:space="preserve">Strategic Recommendations</w:t>
      </w:r>
    </w:p>
    <w:p>
      <w:pPr>
        <w:spacing w:before="60" w:after="100"/>
      </w:pPr>
      <w:r>
        <w:rPr>
          <w:rFonts w:ascii="Arial" w:cs="Arial" w:eastAsia="Arial" w:hAnsi="Arial"/>
          <w:color w:val="333333"/>
          <w:sz w:val="22"/>
          <w:szCs w:val="22"/>
        </w:rPr>
        <w:t xml:space="preserve">Based on the competitive analysis, the following priorities would meaningfully improve Grant Tracker's market position.</w:t>
      </w:r>
    </w:p>
    <w:p>
      <w:pPr>
        <w:spacing w:before="160" w:after="0"/>
      </w:pPr>
      <w:r>
        <w:t xml:space="preserve"/>
      </w:r>
    </w:p>
    <w:p>
      <w:pPr>
        <w:pStyle w:val="Heading2"/>
        <w:spacing w:before="280" w:after="120"/>
      </w:pPr>
      <w:r>
        <w:rPr>
          <w:rFonts w:ascii="Arial" w:cs="Arial" w:eastAsia="Arial" w:hAnsi="Arial"/>
          <w:b/>
          <w:bCs/>
          <w:color w:val="1a3c2e"/>
          <w:sz w:val="26"/>
          <w:szCs w:val="26"/>
        </w:rPr>
        <w:t xml:space="preserve">Short-term (next 1–3 months)</w:t>
      </w:r>
    </w:p>
    <w:p>
      <w:pPr>
        <w:pStyle w:val="Heading3"/>
        <w:spacing w:before="200" w:after="80"/>
      </w:pPr>
      <w:r>
        <w:rPr>
          <w:rFonts w:ascii="Arial" w:cs="Arial" w:eastAsia="Arial" w:hAnsi="Arial"/>
          <w:b/>
          <w:bCs/>
          <w:color w:val="5c7c68"/>
          <w:sz w:val="22"/>
          <w:szCs w:val="22"/>
        </w:rPr>
        <w:t xml:space="preserve">Own the pipeline story</w:t>
      </w:r>
    </w:p>
    <w:p>
      <w:pPr>
        <w:spacing w:before="60" w:after="100"/>
      </w:pPr>
      <w:r>
        <w:rPr>
          <w:rFonts w:ascii="Arial" w:cs="Arial" w:eastAsia="Arial" w:hAnsi="Arial"/>
          <w:color w:val="333333"/>
          <w:sz w:val="22"/>
          <w:szCs w:val="22"/>
        </w:rPr>
        <w:t xml:space="preserve">The integrated discovery + pipeline is Grant Tracker's most defensible advantage and the clearest gap in the market. All marketing copy, the landing page headline, and onboarding should lead with this. No competitor has it. "The only UK grant tool where you find grants and manage your applications in one place" is a compelling, defensible, and true statement.</w:t>
      </w:r>
    </w:p>
    <w:p>
      <w:pPr>
        <w:pStyle w:val="Heading3"/>
        <w:spacing w:before="200" w:after="80"/>
      </w:pPr>
      <w:r>
        <w:rPr>
          <w:rFonts w:ascii="Arial" w:cs="Arial" w:eastAsia="Arial" w:hAnsi="Arial"/>
          <w:b/>
          <w:bCs/>
          <w:color w:val="5c7c68"/>
          <w:sz w:val="22"/>
          <w:szCs w:val="22"/>
        </w:rPr>
        <w:t xml:space="preserve">Grow the database to 500+ curated grants</w:t>
      </w:r>
    </w:p>
    <w:p>
      <w:pPr>
        <w:spacing w:before="60" w:after="100"/>
      </w:pPr>
      <w:r>
        <w:rPr>
          <w:rFonts w:ascii="Arial" w:cs="Arial" w:eastAsia="Arial" w:hAnsi="Arial"/>
          <w:color w:val="333333"/>
          <w:sz w:val="22"/>
          <w:szCs w:val="22"/>
        </w:rPr>
        <w:t xml:space="preserve">Target the highest-value additions first: all National Lottery Community Fund programmes (there are 10+), the top 20 community foundations, major trusts (Lloyds Bank, Garfield Weston, Esmée Fairbairn, Tudor, Rank, Clothworkers), and sector specialists (Youth Music, Sport England, Arts Council). Even reaching 400–500 well-chosen records would be enough to serve most small charity searches.</w:t>
      </w:r>
    </w:p>
    <w:p>
      <w:pPr>
        <w:pStyle w:val="Heading3"/>
        <w:spacing w:before="200" w:after="80"/>
      </w:pPr>
      <w:r>
        <w:rPr>
          <w:rFonts w:ascii="Arial" w:cs="Arial" w:eastAsia="Arial" w:hAnsi="Arial"/>
          <w:b/>
          <w:bCs/>
          <w:color w:val="5c7c68"/>
          <w:sz w:val="22"/>
          <w:szCs w:val="22"/>
        </w:rPr>
        <w:t xml:space="preserve">Add email deadline reminders</w:t>
      </w:r>
    </w:p>
    <w:p>
      <w:pPr>
        <w:spacing w:before="60" w:after="100"/>
      </w:pPr>
      <w:r>
        <w:rPr>
          <w:rFonts w:ascii="Arial" w:cs="Arial" w:eastAsia="Arial" w:hAnsi="Arial"/>
          <w:color w:val="333333"/>
          <w:sz w:val="22"/>
          <w:szCs w:val="22"/>
        </w:rPr>
        <w:t xml:space="preserve">This is the single most-requested feature in the charity grants market (mentioned by every competitor as a differentiator). A simple weekly digest email — "You have 3 deadlines in the next 2 weeks" — would significantly improve retention and make Grant Tracker a habitual tool rather than an occasional one. Supabase scheduled functions or a Vercel cron job could deliver this at near-zero cost.</w:t>
      </w:r>
    </w:p>
    <w:p>
      <w:pPr>
        <w:pStyle w:val="Heading2"/>
        <w:spacing w:before="280" w:after="120"/>
      </w:pPr>
      <w:r>
        <w:rPr>
          <w:rFonts w:ascii="Arial" w:cs="Arial" w:eastAsia="Arial" w:hAnsi="Arial"/>
          <w:b/>
          <w:bCs/>
          <w:color w:val="1a3c2e"/>
          <w:sz w:val="26"/>
          <w:szCs w:val="26"/>
        </w:rPr>
        <w:t xml:space="preserve">Medium-term (3–6 months)</w:t>
      </w:r>
    </w:p>
    <w:p>
      <w:pPr>
        <w:pStyle w:val="Heading3"/>
        <w:spacing w:before="200" w:after="80"/>
      </w:pPr>
      <w:r>
        <w:rPr>
          <w:rFonts w:ascii="Arial" w:cs="Arial" w:eastAsia="Arial" w:hAnsi="Arial"/>
          <w:b/>
          <w:bCs/>
          <w:color w:val="5c7c68"/>
          <w:sz w:val="22"/>
          <w:szCs w:val="22"/>
        </w:rPr>
        <w:t xml:space="preserve">Add CSV export</w:t>
      </w:r>
    </w:p>
    <w:p>
      <w:pPr>
        <w:spacing w:before="60" w:after="100"/>
      </w:pPr>
      <w:r>
        <w:rPr>
          <w:rFonts w:ascii="Arial" w:cs="Arial" w:eastAsia="Arial" w:hAnsi="Arial"/>
          <w:color w:val="333333"/>
          <w:sz w:val="22"/>
          <w:szCs w:val="22"/>
        </w:rPr>
        <w:t xml:space="preserve">Grant managers present to boards and trustees regularly. Without an export button, Grant Tracker can't be used in reporting workflows. This is a low-effort feature with high perceived value.</w:t>
      </w:r>
    </w:p>
    <w:p>
      <w:pPr>
        <w:pStyle w:val="Heading3"/>
        <w:spacing w:before="200" w:after="80"/>
      </w:pPr>
      <w:r>
        <w:rPr>
          <w:rFonts w:ascii="Arial" w:cs="Arial" w:eastAsia="Arial" w:hAnsi="Arial"/>
          <w:b/>
          <w:bCs/>
          <w:color w:val="5c7c68"/>
          <w:sz w:val="22"/>
          <w:szCs w:val="22"/>
        </w:rPr>
        <w:t xml:space="preserve">Build a grant data review process</w:t>
      </w:r>
    </w:p>
    <w:p>
      <w:pPr>
        <w:spacing w:before="60" w:after="100"/>
      </w:pPr>
      <w:r>
        <w:rPr>
          <w:rFonts w:ascii="Arial" w:cs="Arial" w:eastAsia="Arial" w:hAnsi="Arial"/>
          <w:color w:val="333333"/>
          <w:sz w:val="22"/>
          <w:szCs w:val="22"/>
        </w:rPr>
        <w:t xml:space="preserve">Assign each grant a "last verified" date and a quarterly review flag. Even a simple Notion table or Airtable tracking which grants to check and when would prevent the database from degrading. Consider inviting power users to flag stale entries in exchange for recognition.</w:t>
      </w:r>
    </w:p>
    <w:p>
      <w:pPr>
        <w:pStyle w:val="Heading3"/>
        <w:spacing w:before="200" w:after="80"/>
      </w:pPr>
      <w:r>
        <w:rPr>
          <w:rFonts w:ascii="Arial" w:cs="Arial" w:eastAsia="Arial" w:hAnsi="Arial"/>
          <w:b/>
          <w:bCs/>
          <w:color w:val="5c7c68"/>
          <w:sz w:val="22"/>
          <w:szCs w:val="22"/>
        </w:rPr>
        <w:t xml:space="preserve">Collect early social proof</w:t>
      </w:r>
    </w:p>
    <w:p>
      <w:pPr>
        <w:spacing w:before="60" w:after="100"/>
      </w:pPr>
      <w:r>
        <w:rPr>
          <w:rFonts w:ascii="Arial" w:cs="Arial" w:eastAsia="Arial" w:hAnsi="Arial"/>
          <w:color w:val="333333"/>
          <w:sz w:val="22"/>
          <w:szCs w:val="22"/>
        </w:rPr>
        <w:t xml:space="preserve">Even 5–10 genuine user testimonials, or a single case study showing a charity that secured a grant using Grant Tracker, would transform the landing page and build credibility. This costs nothing except asking.</w:t>
      </w:r>
    </w:p>
    <w:p>
      <w:pPr>
        <w:pStyle w:val="Heading2"/>
        <w:spacing w:before="280" w:after="120"/>
      </w:pPr>
      <w:r>
        <w:rPr>
          <w:rFonts w:ascii="Arial" w:cs="Arial" w:eastAsia="Arial" w:hAnsi="Arial"/>
          <w:b/>
          <w:bCs/>
          <w:color w:val="1a3c2e"/>
          <w:sz w:val="26"/>
          <w:szCs w:val="26"/>
        </w:rPr>
        <w:t xml:space="preserve">Longer-term (6–12 months)</w:t>
      </w:r>
    </w:p>
    <w:p>
      <w:pPr>
        <w:pStyle w:val="Heading3"/>
        <w:spacing w:before="200" w:after="80"/>
      </w:pPr>
      <w:r>
        <w:rPr>
          <w:rFonts w:ascii="Arial" w:cs="Arial" w:eastAsia="Arial" w:hAnsi="Arial"/>
          <w:b/>
          <w:bCs/>
          <w:color w:val="5c7c68"/>
          <w:sz w:val="22"/>
          <w:szCs w:val="22"/>
        </w:rPr>
        <w:t xml:space="preserve">Introduce team access</w:t>
      </w:r>
    </w:p>
    <w:p>
      <w:pPr>
        <w:spacing w:before="60" w:after="100"/>
      </w:pPr>
      <w:r>
        <w:rPr>
          <w:rFonts w:ascii="Arial" w:cs="Arial" w:eastAsia="Arial" w:hAnsi="Arial"/>
          <w:color w:val="333333"/>
          <w:sz w:val="22"/>
          <w:szCs w:val="22"/>
        </w:rPr>
        <w:t xml:space="preserve">Team features (inviting colleagues, shared pipeline view, activity logs) would expand Grant Tracker from a personal tool into an organisational one. This also creates a natural freemium boundary: solo use is free, teams pay a modest monthly fee.</w:t>
      </w:r>
    </w:p>
    <w:p>
      <w:pPr>
        <w:pStyle w:val="Heading3"/>
        <w:spacing w:before="200" w:after="80"/>
      </w:pPr>
      <w:r>
        <w:rPr>
          <w:rFonts w:ascii="Arial" w:cs="Arial" w:eastAsia="Arial" w:hAnsi="Arial"/>
          <w:b/>
          <w:bCs/>
          <w:color w:val="5c7c68"/>
          <w:sz w:val="22"/>
          <w:szCs w:val="22"/>
        </w:rPr>
        <w:t xml:space="preserve">AI-assisted application drafting</w:t>
      </w:r>
    </w:p>
    <w:p>
      <w:pPr>
        <w:spacing w:before="60" w:after="100"/>
      </w:pPr>
      <w:r>
        <w:rPr>
          <w:rFonts w:ascii="Arial" w:cs="Arial" w:eastAsia="Arial" w:hAnsi="Arial"/>
          <w:color w:val="333333"/>
          <w:sz w:val="22"/>
          <w:szCs w:val="22"/>
        </w:rPr>
        <w:t xml:space="preserve">Grant Finder Pro's basic drafting is a sign of where the market is heading. Grant Tracker is better placed than any competitor to build genuine AI drafting support because it already holds the organisation profile, the grant criteria, and the pipeline stage. A feature that uses these inputs to generate a first draft — directly in the pipeline view — would be a significant product leap.</w:t>
      </w:r>
    </w:p>
    <w:p>
      <w:pPr>
        <w:pStyle w:val="Heading3"/>
        <w:spacing w:before="200" w:after="80"/>
      </w:pPr>
      <w:r>
        <w:rPr>
          <w:rFonts w:ascii="Arial" w:cs="Arial" w:eastAsia="Arial" w:hAnsi="Arial"/>
          <w:b/>
          <w:bCs/>
          <w:color w:val="5c7c68"/>
          <w:sz w:val="22"/>
          <w:szCs w:val="22"/>
        </w:rPr>
        <w:t xml:space="preserve">Data partnerships or automated ingestion</w:t>
      </w:r>
    </w:p>
    <w:p>
      <w:pPr>
        <w:spacing w:before="60" w:after="100"/>
      </w:pPr>
      <w:r>
        <w:rPr>
          <w:rFonts w:ascii="Arial" w:cs="Arial" w:eastAsia="Arial" w:hAnsi="Arial"/>
          <w:color w:val="333333"/>
          <w:sz w:val="22"/>
          <w:szCs w:val="22"/>
        </w:rPr>
        <w:t xml:space="preserve">To reach GrantFinder scale, manual curation alone will not suffice. Consider partnerships with organisations that already publish grant data (360Giving, NCVO, UKCF), or automated monitoring of funder websites for new round announcements. Even a semi-automated flagging system would reduce the per-grant maintenance burden.</w:t>
      </w:r>
    </w:p>
    <w:p>
      <w:r>
        <w:br w:type="page"/>
      </w:r>
    </w:p>
    <w:p>
      <w:pPr>
        <w:pStyle w:val="Heading1"/>
        <w:pBdr>
          <w:bottom w:val="single" w:color="c9a84c" w:sz="8" w:space="4"/>
        </w:pBdr>
        <w:spacing w:before="360" w:after="160"/>
      </w:pPr>
      <w:r>
        <w:rPr>
          <w:rFonts w:ascii="Arial" w:cs="Arial" w:eastAsia="Arial" w:hAnsi="Arial"/>
          <w:b/>
          <w:bCs/>
          <w:color w:val="1a3c2e"/>
          <w:sz w:val="32"/>
          <w:szCs w:val="32"/>
        </w:rPr>
        <w:t xml:space="preserve">Market Size &amp; Revenue Projections</w:t>
      </w:r>
    </w:p>
    <w:p>
      <w:pPr>
        <w:pStyle w:val="Heading2"/>
        <w:spacing w:before="280" w:after="120"/>
      </w:pPr>
      <w:r>
        <w:rPr>
          <w:rFonts w:ascii="Arial" w:cs="Arial" w:eastAsia="Arial" w:hAnsi="Arial"/>
          <w:b/>
          <w:bCs/>
          <w:color w:val="1a3c2e"/>
          <w:sz w:val="26"/>
          <w:szCs w:val="26"/>
        </w:rPr>
        <w:t xml:space="preserve">The Total Addressable Market</w:t>
      </w:r>
    </w:p>
    <w:p>
      <w:pPr>
        <w:spacing w:before="60" w:after="100"/>
      </w:pPr>
      <w:r>
        <w:rPr>
          <w:rFonts w:ascii="Arial" w:cs="Arial" w:eastAsia="Arial" w:hAnsi="Arial"/>
          <w:color w:val="333333"/>
          <w:sz w:val="22"/>
          <w:szCs w:val="22"/>
        </w:rPr>
        <w:t xml:space="preserve">The UK voluntary sector is larger than most people assume. There are over 170,000 formally registered charities in England and Wales alone, and an estimated 495,000 total VCSE organisations when unregistered and grassroots groups are included. The realistic target audience for Grant Tracker — small-to-medium organisations with income between £10k and £1m who are actively seeking grants — is approximately 100,000 to 150,000 organisations. Most of those have 1–3 people involved in fundraising, putting the individual user pool at 200,000 to 400,000 people.</w:t>
      </w:r>
    </w:p>
    <w:p>
      <w:pPr>
        <w:spacing w:before="60" w:after="100"/>
      </w:pPr>
      <w:r>
        <w:rPr>
          <w:rFonts w:ascii="Arial" w:cs="Arial" w:eastAsia="Arial" w:hAnsi="Arial"/>
          <w:color w:val="333333"/>
          <w:sz w:val="22"/>
          <w:szCs w:val="22"/>
        </w:rPr>
        <w:t xml:space="preserve">Even Charity Excellence, which has been building its free user base for seven years, has reached 50,000 members — roughly 10–30% of the realistic addressable market. The opportunity for a paid tool with a free tier and genuine product differentiation remains largely uncaptured.</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80"/>
        <w:gridCol w:w="1680"/>
      </w:tblGrid>
      <w:tr>
        <w:tc>
          <w:tcPr>
            <w:tcW w:type="dxa" w:w="2800"/>
            <w:tcBorders>
              <w:top w:val="single" w:color="1a3c2e" w:sz="1"/>
              <w:left w:val="single" w:color="1a3c2e" w:sz="1"/>
              <w:bottom w:val="single" w:color="1a3c2e" w:sz="1"/>
              <w:right w:val="single" w:color="1a3c2e" w:sz="1"/>
            </w:tcBorders>
            <w:shd w:fill="1a3c2e" w:val="clear"/>
            <w:tcMar>
              <w:top w:type="dxa" w:w="100"/>
              <w:left w:type="dxa" w:w="120"/>
              <w:bottom w:type="dxa" w:w="100"/>
              <w:right w:type="dxa" w:w="120"/>
            </w:tcMar>
          </w:tcPr>
          <w:p>
            <w:r>
              <w:rPr>
                <w:rFonts w:ascii="Arial" w:cs="Arial" w:eastAsia="Arial" w:hAnsi="Arial"/>
                <w:b/>
                <w:bCs/>
                <w:color w:val="FFFFFF"/>
                <w:sz w:val="18"/>
                <w:szCs w:val="18"/>
              </w:rPr>
              <w:t xml:space="preserve">Platform</w:t>
            </w:r>
          </w:p>
        </w:tc>
        <w:tc>
          <w:tcPr>
            <w:tcW w:type="dxa" w:w="1600"/>
            <w:tcBorders>
              <w:top w:val="single" w:color="1a3c2e" w:sz="1"/>
              <w:left w:val="single" w:color="1a3c2e" w:sz="1"/>
              <w:bottom w:val="single" w:color="1a3c2e" w:sz="1"/>
              <w:right w:val="single" w:color="1a3c2e" w:sz="1"/>
            </w:tcBorders>
            <w:shd w:fill="1a3c2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Monthly Visitors</w:t>
            </w:r>
          </w:p>
        </w:tc>
        <w:tc>
          <w:tcPr>
            <w:tcW w:type="dxa" w:w="1600"/>
            <w:tcBorders>
              <w:top w:val="single" w:color="1a3c2e" w:sz="1"/>
              <w:left w:val="single" w:color="1a3c2e" w:sz="1"/>
              <w:bottom w:val="single" w:color="1a3c2e" w:sz="1"/>
              <w:right w:val="single" w:color="1a3c2e" w:sz="1"/>
            </w:tcBorders>
            <w:shd w:fill="1a3c2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Est. Users / Members</w:t>
            </w:r>
          </w:p>
        </w:tc>
        <w:tc>
          <w:tcPr>
            <w:tcW w:type="dxa" w:w="1680"/>
            <w:tcBorders>
              <w:top w:val="single" w:color="1a3c2e" w:sz="1"/>
              <w:left w:val="single" w:color="1a3c2e" w:sz="1"/>
              <w:bottom w:val="single" w:color="1a3c2e" w:sz="1"/>
              <w:right w:val="single" w:color="1a3c2e" w:sz="1"/>
            </w:tcBorders>
            <w:shd w:fill="1a3c2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Est. Paying Subscribers</w:t>
            </w:r>
          </w:p>
        </w:tc>
        <w:tc>
          <w:tcPr>
            <w:tcW w:type="dxa" w:w="1680"/>
            <w:tcBorders>
              <w:top w:val="single" w:color="1a3c2e" w:sz="1"/>
              <w:left w:val="single" w:color="1a3c2e" w:sz="1"/>
              <w:bottom w:val="single" w:color="1a3c2e" w:sz="1"/>
              <w:right w:val="single" w:color="1a3c2e" w:sz="1"/>
            </w:tcBorders>
            <w:shd w:fill="1a3c2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Entry Price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Idox GrantFinder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~38,000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"Thousands"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2,000–5,000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£1,000+/yr</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18"/>
                <w:szCs w:val="18"/>
              </w:rPr>
              <w:t xml:space="preserve">Grants Online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color w:val="555555"/>
                <w:sz w:val="18"/>
                <w:szCs w:val="18"/>
              </w:rPr>
              <w:t xml:space="preserve">Unknown</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color w:val="555555"/>
                <w:sz w:val="18"/>
                <w:szCs w:val="18"/>
              </w:rPr>
              <w:t xml:space="preserve">Unknown</w:t>
            </w:r>
          </w:p>
        </w:tc>
        <w:tc>
          <w:tcPr>
            <w:tcW w:type="dxa" w:w="1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color w:val="555555"/>
                <w:sz w:val="18"/>
                <w:szCs w:val="18"/>
              </w:rPr>
              <w:t xml:space="preserve">Unknown</w:t>
            </w:r>
          </w:p>
        </w:tc>
        <w:tc>
          <w:tcPr>
            <w:tcW w:type="dxa" w:w="1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£17+/mo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Charity Excellence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~70,000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50,000 members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Free only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Free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18"/>
                <w:szCs w:val="18"/>
              </w:rPr>
              <w:t xml:space="preserve">Fundin.ai</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color w:val="555555"/>
                <w:sz w:val="18"/>
                <w:szCs w:val="18"/>
              </w:rPr>
              <w:t xml:space="preserve">Unknown</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color w:val="555555"/>
                <w:sz w:val="18"/>
                <w:szCs w:val="18"/>
              </w:rPr>
              <w:t xml:space="preserve">Not disclosed</w:t>
            </w:r>
          </w:p>
        </w:tc>
        <w:tc>
          <w:tcPr>
            <w:tcW w:type="dxa" w:w="1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color w:val="555555"/>
                <w:sz w:val="18"/>
                <w:szCs w:val="18"/>
              </w:rPr>
              <w:t xml:space="preserve">Not disclosed</w:t>
            </w:r>
          </w:p>
        </w:tc>
        <w:tc>
          <w:tcPr>
            <w:tcW w:type="dxa" w:w="1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£49/mo</w:t>
            </w:r>
          </w:p>
        </w:tc>
      </w:tr>
      <w:tr>
        <w:tc>
          <w:tcPr>
            <w:tcW w:type="dxa" w:w="2800"/>
            <w:tcBorders>
              <w:top w:val="single" w:color="CCCCCC" w:sz="1"/>
              <w:left w:val="single" w:color="CCCCCC" w:sz="1"/>
              <w:bottom w:val="single" w:color="CCCCCC" w:sz="1"/>
              <w:right w:val="single" w:color="CCCCCC" w:sz="1"/>
            </w:tcBorders>
            <w:shd w:fill="EEF6EF" w:val="clear"/>
            <w:tcMar>
              <w:top w:type="dxa" w:w="80"/>
              <w:left w:type="dxa" w:w="120"/>
              <w:bottom w:type="dxa" w:w="80"/>
              <w:right w:type="dxa" w:w="120"/>
            </w:tcMar>
          </w:tcPr>
          <w:p>
            <w:r>
              <w:rPr>
                <w:rFonts w:ascii="Arial" w:cs="Arial" w:eastAsia="Arial" w:hAnsi="Arial"/>
                <w:b/>
                <w:bCs/>
                <w:color w:val="1a3c2e"/>
                <w:sz w:val="18"/>
                <w:szCs w:val="18"/>
              </w:rPr>
              <w:t xml:space="preserve">Grant Tracker (target)</w:t>
            </w:r>
          </w:p>
        </w:tc>
        <w:tc>
          <w:tcPr>
            <w:tcW w:type="dxa" w:w="1600"/>
            <w:tcBorders>
              <w:top w:val="single" w:color="CCCCCC" w:sz="1"/>
              <w:left w:val="single" w:color="CCCCCC" w:sz="1"/>
              <w:bottom w:val="single" w:color="CCCCCC" w:sz="1"/>
              <w:right w:val="single" w:color="CCCCCC" w:sz="1"/>
            </w:tcBorders>
            <w:shd w:fill="EEF6EF" w:val="clear"/>
            <w:tcMar>
              <w:top w:type="dxa" w:w="80"/>
              <w:left w:type="dxa" w:w="120"/>
              <w:bottom w:type="dxa" w:w="80"/>
              <w:right w:type="dxa" w:w="120"/>
            </w:tcMar>
          </w:tcPr>
          <w:p>
            <w:pPr>
              <w:jc w:val="center"/>
            </w:pPr>
            <w:r>
              <w:rPr>
                <w:rFonts w:ascii="Arial" w:cs="Arial" w:eastAsia="Arial" w:hAnsi="Arial"/>
                <w:color w:val="555555"/>
                <w:sz w:val="18"/>
                <w:szCs w:val="18"/>
              </w:rPr>
              <w:t xml:space="preserve">—</w:t>
            </w:r>
          </w:p>
        </w:tc>
        <w:tc>
          <w:tcPr>
            <w:tcW w:type="dxa" w:w="1600"/>
            <w:tcBorders>
              <w:top w:val="single" w:color="CCCCCC" w:sz="1"/>
              <w:left w:val="single" w:color="CCCCCC" w:sz="1"/>
              <w:bottom w:val="single" w:color="CCCCCC" w:sz="1"/>
              <w:right w:val="single" w:color="CCCCCC" w:sz="1"/>
            </w:tcBorders>
            <w:shd w:fill="EEF6EF" w:val="clear"/>
            <w:tcMar>
              <w:top w:type="dxa" w:w="80"/>
              <w:left w:type="dxa" w:w="120"/>
              <w:bottom w:type="dxa" w:w="80"/>
              <w:right w:type="dxa" w:w="120"/>
            </w:tcMar>
          </w:tcPr>
          <w:p>
            <w:pPr>
              <w:jc w:val="center"/>
            </w:pPr>
            <w:r>
              <w:rPr>
                <w:rFonts w:ascii="Arial" w:cs="Arial" w:eastAsia="Arial" w:hAnsi="Arial"/>
                <w:color w:val="555555"/>
                <w:sz w:val="18"/>
                <w:szCs w:val="18"/>
              </w:rPr>
              <w:t xml:space="preserve">—</w:t>
            </w:r>
          </w:p>
        </w:tc>
        <w:tc>
          <w:tcPr>
            <w:tcW w:type="dxa" w:w="1680"/>
            <w:tcBorders>
              <w:top w:val="single" w:color="CCCCCC" w:sz="1"/>
              <w:left w:val="single" w:color="CCCCCC" w:sz="1"/>
              <w:bottom w:val="single" w:color="CCCCCC" w:sz="1"/>
              <w:right w:val="single" w:color="CCCCCC" w:sz="1"/>
            </w:tcBorders>
            <w:shd w:fill="EEF6EF" w:val="clear"/>
            <w:tcMar>
              <w:top w:type="dxa" w:w="80"/>
              <w:left w:type="dxa" w:w="120"/>
              <w:bottom w:type="dxa" w:w="80"/>
              <w:right w:type="dxa" w:w="120"/>
            </w:tcMar>
          </w:tcPr>
          <w:p>
            <w:pPr>
              <w:jc w:val="center"/>
            </w:pPr>
            <w:r>
              <w:rPr>
                <w:rFonts w:ascii="Arial" w:cs="Arial" w:eastAsia="Arial" w:hAnsi="Arial"/>
                <w:color w:val="555555"/>
                <w:sz w:val="18"/>
                <w:szCs w:val="18"/>
              </w:rPr>
              <w:t xml:space="preserve">—</w:t>
            </w:r>
          </w:p>
        </w:tc>
        <w:tc>
          <w:tcPr>
            <w:tcW w:type="dxa" w:w="1680"/>
            <w:tcBorders>
              <w:top w:val="single" w:color="CCCCCC" w:sz="1"/>
              <w:left w:val="single" w:color="CCCCCC" w:sz="1"/>
              <w:bottom w:val="single" w:color="CCCCCC" w:sz="1"/>
              <w:right w:val="single" w:color="CCCCCC" w:sz="1"/>
            </w:tcBorders>
            <w:shd w:fill="EEF6EF"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£19/mo</w:t>
            </w:r>
          </w:p>
        </w:tc>
      </w:tr>
    </w:tbl>
    <w:p>
      <w:pPr>
        <w:spacing w:before="160" w:after="0"/>
      </w:pPr>
      <w:r>
        <w:t xml:space="preserve"/>
      </w:r>
    </w:p>
    <w:p>
      <w:pPr>
        <w:spacing w:before="60" w:after="120"/>
      </w:pPr>
      <w:r>
        <w:rPr>
          <w:rFonts w:ascii="Arial" w:cs="Arial" w:eastAsia="Arial" w:hAnsi="Arial"/>
          <w:i/>
          <w:iCs/>
          <w:color w:val="6b7280"/>
          <w:sz w:val="16"/>
          <w:szCs w:val="16"/>
        </w:rPr>
        <w:t xml:space="preserve">Note: competitor visitor and subscriber figures are estimates based on publicly available data and web traffic analysis. "Not disclosed" indicates no public data found.</w:t>
      </w:r>
    </w:p>
    <w:p>
      <w:pPr>
        <w:pStyle w:val="Heading2"/>
        <w:spacing w:before="280" w:after="120"/>
      </w:pPr>
      <w:r>
        <w:rPr>
          <w:rFonts w:ascii="Arial" w:cs="Arial" w:eastAsia="Arial" w:hAnsi="Arial"/>
          <w:b/>
          <w:bCs/>
          <w:color w:val="1a3c2e"/>
          <w:sz w:val="26"/>
          <w:szCs w:val="26"/>
        </w:rPr>
        <w:t xml:space="preserve">Grant Tracker Growth Projections</w:t>
      </w:r>
    </w:p>
    <w:p>
      <w:pPr>
        <w:spacing w:before="60" w:after="100"/>
      </w:pPr>
      <w:r>
        <w:rPr>
          <w:rFonts w:ascii="Arial" w:cs="Arial" w:eastAsia="Arial" w:hAnsi="Arial"/>
          <w:color w:val="333333"/>
          <w:sz w:val="22"/>
          <w:szCs w:val="22"/>
        </w:rPr>
        <w:t xml:space="preserve">The charity sector is a networked community where word of mouth travels fast. The strongest growth levers are sector umbrella body partnerships (NCVO, NAVCA, county CVS networks), content SEO around funding search terms, and the organic referrals that follow once a tool becomes a trusted part of a fundraiser's workflow. A 5–8% free-to-paid conversion rate is realistic — charities are budget-conscious, but those who rely on grants for survival are highly motivated to pay for something that demonstrably helps, given the obvious ROI.</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200"/>
        <w:gridCol w:w="1560"/>
        <w:gridCol w:w="2800"/>
      </w:tblGrid>
      <w:tr>
        <w:tc>
          <w:tcPr>
            <w:tcW w:type="dxa" w:w="1400"/>
            <w:tcBorders>
              <w:top w:val="single" w:color="1a3c2e" w:sz="1"/>
              <w:left w:val="single" w:color="1a3c2e" w:sz="1"/>
              <w:bottom w:val="single" w:color="1a3c2e" w:sz="1"/>
              <w:right w:val="single" w:color="1a3c2e" w:sz="1"/>
            </w:tcBorders>
            <w:shd w:fill="1a3c2e" w:val="clear"/>
            <w:tcMar>
              <w:top w:type="dxa" w:w="100"/>
              <w:left w:type="dxa" w:w="120"/>
              <w:bottom w:type="dxa" w:w="100"/>
              <w:right w:type="dxa" w:w="120"/>
            </w:tcMar>
          </w:tcPr>
          <w:p>
            <w:r>
              <w:rPr>
                <w:rFonts w:ascii="Arial" w:cs="Arial" w:eastAsia="Arial" w:hAnsi="Arial"/>
                <w:b/>
                <w:bCs/>
                <w:color w:val="FFFFFF"/>
                <w:sz w:val="18"/>
                <w:szCs w:val="18"/>
              </w:rPr>
              <w:t xml:space="preserve">Stage</w:t>
            </w:r>
          </w:p>
        </w:tc>
        <w:tc>
          <w:tcPr>
            <w:tcW w:type="dxa" w:w="1200"/>
            <w:tcBorders>
              <w:top w:val="single" w:color="1a3c2e" w:sz="1"/>
              <w:left w:val="single" w:color="1a3c2e" w:sz="1"/>
              <w:bottom w:val="single" w:color="1a3c2e" w:sz="1"/>
              <w:right w:val="single" w:color="1a3c2e" w:sz="1"/>
            </w:tcBorders>
            <w:shd w:fill="1a3c2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Timeline</w:t>
            </w:r>
          </w:p>
        </w:tc>
        <w:tc>
          <w:tcPr>
            <w:tcW w:type="dxa" w:w="1200"/>
            <w:tcBorders>
              <w:top w:val="single" w:color="1a3c2e" w:sz="1"/>
              <w:left w:val="single" w:color="1a3c2e" w:sz="1"/>
              <w:bottom w:val="single" w:color="1a3c2e" w:sz="1"/>
              <w:right w:val="single" w:color="1a3c2e" w:sz="1"/>
            </w:tcBorders>
            <w:shd w:fill="1a3c2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Free Users</w:t>
            </w:r>
          </w:p>
        </w:tc>
        <w:tc>
          <w:tcPr>
            <w:tcW w:type="dxa" w:w="1200"/>
            <w:tcBorders>
              <w:top w:val="single" w:color="1a3c2e" w:sz="1"/>
              <w:left w:val="single" w:color="1a3c2e" w:sz="1"/>
              <w:bottom w:val="single" w:color="1a3c2e" w:sz="1"/>
              <w:right w:val="single" w:color="1a3c2e" w:sz="1"/>
            </w:tcBorders>
            <w:shd w:fill="1a3c2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Paid Users</w:t>
            </w:r>
          </w:p>
        </w:tc>
        <w:tc>
          <w:tcPr>
            <w:tcW w:type="dxa" w:w="1560"/>
            <w:tcBorders>
              <w:top w:val="single" w:color="1a3c2e" w:sz="1"/>
              <w:left w:val="single" w:color="1a3c2e" w:sz="1"/>
              <w:bottom w:val="single" w:color="1a3c2e" w:sz="1"/>
              <w:right w:val="single" w:color="1a3c2e" w:sz="1"/>
            </w:tcBorders>
            <w:shd w:fill="1a3c2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Monthly Revenue</w:t>
            </w:r>
          </w:p>
        </w:tc>
        <w:tc>
          <w:tcPr>
            <w:tcW w:type="dxa" w:w="2800"/>
            <w:tcBorders>
              <w:top w:val="single" w:color="1a3c2e" w:sz="1"/>
              <w:left w:val="single" w:color="1a3c2e" w:sz="1"/>
              <w:bottom w:val="single" w:color="1a3c2e" w:sz="1"/>
              <w:right w:val="single" w:color="1a3c2e" w:sz="1"/>
            </w:tcBorders>
            <w:shd w:fill="1a3c2e" w:val="clear"/>
            <w:tcMar>
              <w:top w:type="dxa" w:w="100"/>
              <w:left w:type="dxa" w:w="120"/>
              <w:bottom w:type="dxa" w:w="100"/>
              <w:right w:type="dxa" w:w="120"/>
            </w:tcMar>
          </w:tcPr>
          <w:p>
            <w:r>
              <w:rPr>
                <w:rFonts w:ascii="Arial" w:cs="Arial" w:eastAsia="Arial" w:hAnsi="Arial"/>
                <w:b/>
                <w:bCs/>
                <w:color w:val="FFFFFF"/>
                <w:sz w:val="18"/>
                <w:szCs w:val="18"/>
              </w:rPr>
              <w:t xml:space="preserve">Primary Growth Driver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2e"/>
                <w:sz w:val="18"/>
                <w:szCs w:val="18"/>
              </w:rPr>
              <w:t xml:space="preserve">Launch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Months 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8"/>
                <w:szCs w:val="18"/>
              </w:rPr>
              <w:t xml:space="preserve">200–500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6b7280"/>
                <w:sz w:val="18"/>
                <w:szCs w:val="18"/>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6b7280"/>
                <w:sz w:val="18"/>
                <w:szCs w:val="18"/>
              </w:rPr>
              <w:t xml:space="preserve">£0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Direct outreach, early adopters</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1a3c2e"/>
                <w:sz w:val="18"/>
                <w:szCs w:val="18"/>
              </w:rPr>
              <w:t xml:space="preserve">Early traction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color w:val="555555"/>
                <w:sz w:val="18"/>
                <w:szCs w:val="18"/>
              </w:rPr>
              <w:t xml:space="preserve">Months 6–18</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color w:val="333333"/>
                <w:sz w:val="18"/>
                <w:szCs w:val="18"/>
              </w:rPr>
              <w:t xml:space="preserve">1,000–3,000</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50–150</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£1k–£3k</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55555"/>
                <w:sz w:val="18"/>
                <w:szCs w:val="18"/>
              </w:rPr>
              <w:t xml:space="preserve">Word of mouth, SEO, sector press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2e"/>
                <w:sz w:val="18"/>
                <w:szCs w:val="18"/>
              </w:rPr>
              <w:t xml:space="preserve">Growing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Year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8"/>
                <w:szCs w:val="18"/>
              </w:rPr>
              <w:t xml:space="preserve">5,000–10,000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300–700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£6k–£13k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Partnerships, content marketing</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1a3c2e"/>
                <w:sz w:val="18"/>
                <w:szCs w:val="18"/>
              </w:rPr>
              <w:t xml:space="preserve">Established</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color w:val="555555"/>
                <w:sz w:val="18"/>
                <w:szCs w:val="18"/>
              </w:rPr>
              <w:t xml:space="preserve">Year 3</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color w:val="333333"/>
                <w:sz w:val="18"/>
                <w:szCs w:val="18"/>
              </w:rPr>
              <w:t xml:space="preserve">15,000–30,000</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1,000–2,000</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£19k–£38k</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555555"/>
                <w:sz w:val="18"/>
                <w:szCs w:val="18"/>
              </w:rPr>
              <w:t xml:space="preserve">Brand recognition, referrals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2e"/>
                <w:sz w:val="18"/>
                <w:szCs w:val="18"/>
              </w:rPr>
              <w:t xml:space="preserve">Scale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Year 4–5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8"/>
                <w:szCs w:val="18"/>
              </w:rPr>
              <w:t xml:space="preserve">40,000–80,000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3,000–6,000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£57k–£114k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Network effects, umbrella body deals</w:t>
            </w:r>
          </w:p>
        </w:tc>
      </w:tr>
    </w:tbl>
    <w:p>
      <w:pPr>
        <w:spacing w:before="160" w:after="0"/>
      </w:pPr>
      <w:r>
        <w:t xml:space="preserve"/>
      </w:r>
    </w:p>
    <w:p>
      <w:pPr>
        <w:spacing w:before="60" w:after="120"/>
      </w:pPr>
      <w:r>
        <w:rPr>
          <w:rFonts w:ascii="Arial" w:cs="Arial" w:eastAsia="Arial" w:hAnsi="Arial"/>
          <w:i/>
          <w:iCs/>
          <w:color w:val="6b7280"/>
          <w:sz w:val="16"/>
          <w:szCs w:val="16"/>
        </w:rPr>
        <w:t xml:space="preserve">Projections assume £19/month Pro subscription and 5–8% free-to-paid conversion rate, consistent with B2B SaaS benchmarks in the nonprofit tools market.</w:t>
      </w:r>
    </w:p>
    <w:p>
      <w:pPr>
        <w:pStyle w:val="Heading2"/>
        <w:spacing w:before="280" w:after="120"/>
      </w:pPr>
      <w:r>
        <w:rPr>
          <w:rFonts w:ascii="Arial" w:cs="Arial" w:eastAsia="Arial" w:hAnsi="Arial"/>
          <w:b/>
          <w:bCs/>
          <w:color w:val="1a3c2e"/>
          <w:sz w:val="26"/>
          <w:szCs w:val="26"/>
        </w:rPr>
        <w:t xml:space="preserve">Unit Economics &amp; Running Costs</w:t>
      </w:r>
    </w:p>
    <w:p>
      <w:pPr>
        <w:spacing w:before="60" w:after="100"/>
      </w:pPr>
      <w:r>
        <w:rPr>
          <w:rFonts w:ascii="Arial" w:cs="Arial" w:eastAsia="Arial" w:hAnsi="Arial"/>
          <w:color w:val="333333"/>
          <w:sz w:val="22"/>
          <w:szCs w:val="22"/>
        </w:rPr>
        <w:t xml:space="preserve">The cost structure is highly favourable. The two primary variable costs are Anthropic API calls (AI search at ~2p per query, Deep Search at ~10p per unique query) and Stripe payment processing (~2% + 20p per transaction). Fixed infrastructure costs are low — Vercel Pro at $20/month and Supabase Pro at $25/month are the only significant overheads. Total running costs at meaningful scale remain a small fraction of revenue.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80"/>
        <w:gridCol w:w="1240"/>
        <w:gridCol w:w="1240"/>
      </w:tblGrid>
      <w:tr>
        <w:tc>
          <w:tcPr>
            <w:tcW w:type="dxa" w:w="2000"/>
            <w:tcBorders>
              <w:top w:val="single" w:color="1a3c2e" w:sz="1"/>
              <w:left w:val="single" w:color="1a3c2e" w:sz="1"/>
              <w:bottom w:val="single" w:color="1a3c2e" w:sz="1"/>
              <w:right w:val="single" w:color="1a3c2e" w:sz="1"/>
            </w:tcBorders>
            <w:shd w:fill="1a3c2e" w:val="clear"/>
            <w:tcMar>
              <w:top w:type="dxa" w:w="100"/>
              <w:left w:type="dxa" w:w="120"/>
              <w:bottom w:type="dxa" w:w="100"/>
              <w:right w:type="dxa" w:w="120"/>
            </w:tcMar>
          </w:tcPr>
          <w:p>
            <w:r>
              <w:rPr>
                <w:rFonts w:ascii="Arial" w:cs="Arial" w:eastAsia="Arial" w:hAnsi="Arial"/>
                <w:b/>
                <w:bCs/>
                <w:color w:val="FFFFFF"/>
                <w:sz w:val="18"/>
                <w:szCs w:val="18"/>
              </w:rPr>
              <w:t xml:space="preserve">Scenario</w:t>
            </w:r>
          </w:p>
        </w:tc>
        <w:tc>
          <w:tcPr>
            <w:tcW w:type="dxa" w:w="1600"/>
            <w:tcBorders>
              <w:top w:val="single" w:color="1a3c2e" w:sz="1"/>
              <w:left w:val="single" w:color="1a3c2e" w:sz="1"/>
              <w:bottom w:val="single" w:color="1a3c2e" w:sz="1"/>
              <w:right w:val="single" w:color="1a3c2e" w:sz="1"/>
            </w:tcBorders>
            <w:shd w:fill="1a3c2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Users (active)</w:t>
            </w:r>
          </w:p>
        </w:tc>
        <w:tc>
          <w:tcPr>
            <w:tcW w:type="dxa" w:w="1600"/>
            <w:tcBorders>
              <w:top w:val="single" w:color="1a3c2e" w:sz="1"/>
              <w:left w:val="single" w:color="1a3c2e" w:sz="1"/>
              <w:bottom w:val="single" w:color="1a3c2e" w:sz="1"/>
              <w:right w:val="single" w:color="1a3c2e" w:sz="1"/>
            </w:tcBorders>
            <w:shd w:fill="1a3c2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Total Costs/mo</w:t>
            </w:r>
          </w:p>
        </w:tc>
        <w:tc>
          <w:tcPr>
            <w:tcW w:type="dxa" w:w="1680"/>
            <w:tcBorders>
              <w:top w:val="single" w:color="1a3c2e" w:sz="1"/>
              <w:left w:val="single" w:color="1a3c2e" w:sz="1"/>
              <w:bottom w:val="single" w:color="1a3c2e" w:sz="1"/>
              <w:right w:val="single" w:color="1a3c2e" w:sz="1"/>
            </w:tcBorders>
            <w:shd w:fill="1a3c2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Revenue/mo</w:t>
            </w:r>
          </w:p>
        </w:tc>
        <w:tc>
          <w:tcPr>
            <w:tcW w:type="dxa" w:w="1240"/>
            <w:tcBorders>
              <w:top w:val="single" w:color="1a3c2e" w:sz="1"/>
              <w:left w:val="single" w:color="1a3c2e" w:sz="1"/>
              <w:bottom w:val="single" w:color="1a3c2e" w:sz="1"/>
              <w:right w:val="single" w:color="1a3c2e" w:sz="1"/>
            </w:tcBorders>
            <w:shd w:fill="1a3c2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Profit/mo</w:t>
            </w:r>
          </w:p>
        </w:tc>
        <w:tc>
          <w:tcPr>
            <w:tcW w:type="dxa" w:w="1240"/>
            <w:tcBorders>
              <w:top w:val="single" w:color="1a3c2e" w:sz="1"/>
              <w:left w:val="single" w:color="1a3c2e" w:sz="1"/>
              <w:bottom w:val="single" w:color="1a3c2e" w:sz="1"/>
              <w:right w:val="single" w:color="1a3c2e" w:sz="1"/>
            </w:tcBorders>
            <w:shd w:fill="1a3c2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Margin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c2e"/>
                <w:sz w:val="18"/>
                <w:szCs w:val="18"/>
              </w:rPr>
              <w:t xml:space="preserve">Early (200 users)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200 / 60 active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0392b"/>
                <w:sz w:val="18"/>
                <w:szCs w:val="18"/>
              </w:rPr>
              <w:t xml:space="preserve">~£9</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6b7280"/>
                <w:sz w:val="18"/>
                <w:szCs w:val="18"/>
              </w:rPr>
              <w:t xml:space="preserve">£0</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6b7280"/>
                <w:sz w:val="18"/>
                <w:szCs w:val="18"/>
              </w:rPr>
              <w:t xml:space="preserve">—</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6b7280"/>
                <w:sz w:val="18"/>
                <w:szCs w:val="18"/>
              </w:rPr>
              <w:t xml:space="preserv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3c2e"/>
                <w:sz w:val="18"/>
                <w:szCs w:val="18"/>
              </w:rPr>
              <w:t xml:space="preserve">Growth (50 paying)</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color w:val="555555"/>
                <w:sz w:val="18"/>
                <w:szCs w:val="18"/>
              </w:rPr>
              <w:t xml:space="preserve">1,000 / 300 active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color w:val="c0392b"/>
                <w:sz w:val="18"/>
                <w:szCs w:val="18"/>
              </w:rPr>
              <w:t xml:space="preserve">~£145</w:t>
            </w:r>
          </w:p>
        </w:tc>
        <w:tc>
          <w:tcPr>
            <w:tcW w:type="dxa" w:w="1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~£950</w:t>
            </w:r>
          </w:p>
        </w:tc>
        <w:tc>
          <w:tcPr>
            <w:tcW w:type="dxa" w:w="1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~£805</w:t>
            </w:r>
          </w:p>
        </w:tc>
        <w:tc>
          <w:tcPr>
            <w:tcW w:type="dxa" w:w="1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85%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3c2e"/>
                <w:sz w:val="18"/>
                <w:szCs w:val="18"/>
              </w:rPr>
              <w:t xml:space="preserve">Established (400 paying)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5,000 / 1.5k active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0392b"/>
                <w:sz w:val="18"/>
                <w:szCs w:val="18"/>
              </w:rPr>
              <w:t xml:space="preserve">~£390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~£7,600</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~£7,210</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95%</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3c2e"/>
                <w:sz w:val="18"/>
                <w:szCs w:val="18"/>
              </w:rPr>
              <w:t xml:space="preserve">Scale (3,000 paying)</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color w:val="555555"/>
                <w:sz w:val="18"/>
                <w:szCs w:val="18"/>
              </w:rPr>
              <w:t xml:space="preserve">40,000 / 12k active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color w:val="c0392b"/>
                <w:sz w:val="18"/>
                <w:szCs w:val="18"/>
              </w:rPr>
              <w:t xml:space="preserve">~£1,800</w:t>
            </w:r>
          </w:p>
        </w:tc>
        <w:tc>
          <w:tcPr>
            <w:tcW w:type="dxa" w:w="1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~£57,000</w:t>
            </w:r>
          </w:p>
        </w:tc>
        <w:tc>
          <w:tcPr>
            <w:tcW w:type="dxa" w:w="1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~£55,200</w:t>
            </w:r>
          </w:p>
        </w:tc>
        <w:tc>
          <w:tcPr>
            <w:tcW w:type="dxa" w:w="1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97%</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7c68" w:sz="1"/>
              <w:left w:val="single" w:color="5c7c68" w:sz="12"/>
              <w:bottom w:val="single" w:color="5c7c68" w:sz="1"/>
              <w:right w:val="single" w:color="5c7c68" w:sz="1"/>
            </w:tcBorders>
            <w:shd w:fill="EEF6EF" w:val="clear"/>
            <w:tcMar>
              <w:top w:type="dxa" w:w="120"/>
              <w:left w:type="dxa" w:w="200"/>
              <w:bottom w:type="dxa" w:w="120"/>
              <w:right w:type="dxa" w:w="200"/>
            </w:tcMar>
          </w:tcPr>
          <w:p>
            <w:pPr>
              <w:spacing w:before="0" w:after="60"/>
            </w:pPr>
            <w:r>
              <w:rPr>
                <w:rFonts w:ascii="Arial" w:cs="Arial" w:eastAsia="Arial" w:hAnsi="Arial"/>
                <w:b/>
                <w:bCs/>
                <w:color w:val="5c7c68"/>
                <w:sz w:val="20"/>
                <w:szCs w:val="20"/>
              </w:rPr>
              <w:t xml:space="preserve">Pricing context</w:t>
            </w:r>
          </w:p>
          <w:p>
            <w:pPr>
              <w:spacing w:before="0" w:after="0"/>
            </w:pPr>
            <w:r>
              <w:rPr>
                <w:rFonts w:ascii="Arial" w:cs="Arial" w:eastAsia="Arial" w:hAnsi="Arial"/>
                <w:color w:val="333333"/>
                <w:sz w:val="20"/>
                <w:szCs w:val="20"/>
              </w:rPr>
              <w:t xml:space="preserve">Grant Tracker Pro at £19/month sits in completely unclaimed territory. GrantFinder charges £1,000+/year. Fundin.ai starts at £49/month. Grants Online charges from £17/month but offers no AI or pipeline. Grant Tracker is the only modern, AI-powered, pipeline-integrated tool available at this price point — and free to try with no credit card required.</w:t>
            </w:r>
          </w:p>
        </w:tc>
      </w:tr>
    </w:tbl>
    <w:p>
      <w:pPr>
        <w:spacing w:before="160" w:after="0"/>
      </w:pPr>
      <w:r>
        <w:t xml:space="preserve"/>
      </w:r>
    </w:p>
    <w:p>
      <w:pPr>
        <w:pStyle w:val="Heading2"/>
        <w:spacing w:before="280" w:after="120"/>
      </w:pPr>
      <w:r>
        <w:rPr>
          <w:rFonts w:ascii="Arial" w:cs="Arial" w:eastAsia="Arial" w:hAnsi="Arial"/>
          <w:b/>
          <w:bCs/>
          <w:color w:val="1a3c2e"/>
          <w:sz w:val="26"/>
          <w:szCs w:val="26"/>
        </w:rPr>
        <w:t xml:space="preserve">Key Growth Channels</w:t>
      </w:r>
    </w:p>
    <w:p>
      <w:pPr>
        <w:spacing w:before="60" w:after="100"/>
      </w:pPr>
      <w:r>
        <w:rPr>
          <w:rFonts w:ascii="Arial" w:cs="Arial" w:eastAsia="Arial" w:hAnsi="Arial"/>
          <w:color w:val="333333"/>
          <w:sz w:val="22"/>
          <w:szCs w:val="22"/>
        </w:rPr>
        <w:t xml:space="preserve">Paid advertising is a poor fit for this market — charities are sceptical of commercial marketing and the cost-per-acquisition would be high. The most effective channels are all relationship-based and low-cost:</w:t>
      </w:r>
    </w:p>
    <w:p>
      <w:pPr>
        <w:spacing w:before="80" w:after="0"/>
      </w:pPr>
      <w:r>
        <w:t xml:space="preserve"/>
      </w:r>
    </w:p>
    <w:p>
      <w:pPr>
        <w:pStyle w:val="ListParagraph"/>
        <w:numPr>
          <w:ilvl w:val="0"/>
          <w:numId w:val="2"/>
        </w:numPr>
        <w:spacing w:before="40" w:after="40"/>
      </w:pPr>
      <w:r>
        <w:rPr>
          <w:rFonts w:ascii="Arial" w:cs="Arial" w:eastAsia="Arial" w:hAnsi="Arial"/>
          <w:b/>
          <w:bCs/>
          <w:color w:val="111111"/>
          <w:sz w:val="22"/>
          <w:szCs w:val="22"/>
        </w:rPr>
        <w:t xml:space="preserve">Sector umbrella bodies: </w:t>
      </w:r>
      <w:r>
        <w:rPr>
          <w:rFonts w:ascii="Arial" w:cs="Arial" w:eastAsia="Arial" w:hAnsi="Arial"/>
          <w:color w:val="333333"/>
          <w:sz w:val="22"/>
          <w:szCs w:val="22"/>
        </w:rPr>
        <w:t xml:space="preserve">A mention in the NCVO newsletter, a "recommended tool" badge from a county CVS, or a partnership with NAVCA would reach tens of thousands of charities directly. These relationships take time but cost nothing and generate highly qualified traffic.</w:t>
      </w:r>
    </w:p>
    <w:p>
      <w:pPr>
        <w:pStyle w:val="ListParagraph"/>
        <w:numPr>
          <w:ilvl w:val="0"/>
          <w:numId w:val="2"/>
        </w:numPr>
        <w:spacing w:before="40" w:after="40"/>
      </w:pPr>
      <w:r>
        <w:rPr>
          <w:rFonts w:ascii="Arial" w:cs="Arial" w:eastAsia="Arial" w:hAnsi="Arial"/>
          <w:b/>
          <w:bCs/>
          <w:color w:val="111111"/>
          <w:sz w:val="22"/>
          <w:szCs w:val="22"/>
        </w:rPr>
        <w:t xml:space="preserve">Content SEO: </w:t>
      </w:r>
      <w:r>
        <w:rPr>
          <w:rFonts w:ascii="Arial" w:cs="Arial" w:eastAsia="Arial" w:hAnsi="Arial"/>
          <w:color w:val="333333"/>
          <w:sz w:val="22"/>
          <w:szCs w:val="22"/>
        </w:rPr>
        <w:t xml:space="preserve">"Grants for [cause] charities UK", "how to find funding for [sector]" — these are relatively low-competition keywords in a sector where most websites are poorly optimised. A well-structured funding blog alongside the tool could generate significant organic traffic within 12–18 months.</w:t>
      </w:r>
    </w:p>
    <w:p>
      <w:pPr>
        <w:pStyle w:val="ListParagraph"/>
        <w:numPr>
          <w:ilvl w:val="0"/>
          <w:numId w:val="2"/>
        </w:numPr>
        <w:spacing w:before="40" w:after="40"/>
      </w:pPr>
      <w:r>
        <w:rPr>
          <w:rFonts w:ascii="Arial" w:cs="Arial" w:eastAsia="Arial" w:hAnsi="Arial"/>
          <w:b/>
          <w:bCs/>
          <w:color w:val="111111"/>
          <w:sz w:val="22"/>
          <w:szCs w:val="22"/>
        </w:rPr>
        <w:t xml:space="preserve">Word of mouth: </w:t>
      </w:r>
      <w:r>
        <w:rPr>
          <w:rFonts w:ascii="Arial" w:cs="Arial" w:eastAsia="Arial" w:hAnsi="Arial"/>
          <w:color w:val="333333"/>
          <w:sz w:val="22"/>
          <w:szCs w:val="22"/>
        </w:rPr>
        <w:t xml:space="preserve">Grant managers talk to each other — at sector events, through local networks, in online communities. A tool that genuinely saves time will be recommended. Early adopter engagement and testimonials are the catalyst.</w:t>
      </w:r>
    </w:p>
    <w:p>
      <w:pPr>
        <w:pStyle w:val="ListParagraph"/>
        <w:numPr>
          <w:ilvl w:val="0"/>
          <w:numId w:val="2"/>
        </w:numPr>
        <w:spacing w:before="40" w:after="40"/>
      </w:pPr>
      <w:r>
        <w:rPr>
          <w:rFonts w:ascii="Arial" w:cs="Arial" w:eastAsia="Arial" w:hAnsi="Arial"/>
          <w:b/>
          <w:bCs/>
          <w:color w:val="111111"/>
          <w:sz w:val="22"/>
          <w:szCs w:val="22"/>
        </w:rPr>
        <w:t xml:space="preserve">Sector press: </w:t>
      </w:r>
      <w:r>
        <w:rPr>
          <w:rFonts w:ascii="Arial" w:cs="Arial" w:eastAsia="Arial" w:hAnsi="Arial"/>
          <w:color w:val="333333"/>
          <w:sz w:val="22"/>
          <w:szCs w:val="22"/>
        </w:rPr>
        <w:t xml:space="preserve">Civil Society News, Charity Times, Third Sector, and Fundraising Magazine collectively reach most of the active charity fundraising community. A product story around AI + free access would be genuinely newsworthy.</w:t>
      </w:r>
    </w:p>
    <w:p>
      <w:pPr>
        <w:spacing w:before="160" w:after="0"/>
      </w:pPr>
      <w:r>
        <w:t xml:space="preserve"/>
      </w:r>
    </w:p>
    <w:p>
      <w:pPr>
        <w:pStyle w:val="Heading1"/>
        <w:pBdr>
          <w:bottom w:val="single" w:color="c9a84c" w:sz="8" w:space="4"/>
        </w:pBdr>
        <w:spacing w:before="360" w:after="160"/>
      </w:pPr>
      <w:r>
        <w:rPr>
          <w:rFonts w:ascii="Arial" w:cs="Arial" w:eastAsia="Arial" w:hAnsi="Arial"/>
          <w:b/>
          <w:bCs/>
          <w:color w:val="1a3c2e"/>
          <w:sz w:val="32"/>
          <w:szCs w:val="32"/>
        </w:rPr>
        <w:t xml:space="preserve">Conclusion</w:t>
      </w:r>
    </w:p>
    <w:p>
      <w:pPr>
        <w:spacing w:before="60" w:after="100"/>
      </w:pPr>
      <w:r>
        <w:rPr>
          <w:rFonts w:ascii="Arial" w:cs="Arial" w:eastAsia="Arial" w:hAnsi="Arial"/>
          <w:color w:val="333333"/>
          <w:sz w:val="22"/>
          <w:szCs w:val="22"/>
        </w:rPr>
        <w:t xml:space="preserve">Grant Tracker is in a strong position to carve out a distinct, defensible niche in the UK grants market. It is not trying to be GrantFinder — nor should it be. Its natural users are the small-to-medium charities, CICs, and community groups that make up 95% of the VCSE sector, and who are systematically underserved by the expensive, enterprise-focused incumbents.</w:t>
      </w:r>
    </w:p>
    <w:p>
      <w:pPr>
        <w:spacing w:before="60" w:after="100"/>
      </w:pPr>
      <w:r>
        <w:rPr>
          <w:rFonts w:ascii="Arial" w:cs="Arial" w:eastAsia="Arial" w:hAnsi="Arial"/>
          <w:color w:val="333333"/>
          <w:sz w:val="22"/>
          <w:szCs w:val="22"/>
        </w:rPr>
        <w:t xml:space="preserve">The integrated pipeline is a genuine competitive moat. No competitor has built it, and it solves a real, daily pain point for fundraisers. That advantage compounds if Grant Tracker adds the surrounding features that make the pipeline sticky: deadline reminders, export, and eventually team access.</w:t>
      </w:r>
    </w:p>
    <w:p>
      <w:pPr>
        <w:spacing w:before="60" w:after="100"/>
      </w:pPr>
      <w:r>
        <w:rPr>
          <w:rFonts w:ascii="Arial" w:cs="Arial" w:eastAsia="Arial" w:hAnsi="Arial"/>
          <w:color w:val="333333"/>
          <w:sz w:val="22"/>
          <w:szCs w:val="22"/>
        </w:rPr>
        <w:t xml:space="preserve">The primary risk is database size and data quality. Without a credible curated pool, users will not trust the search results. Growing to 500+ well-maintained grants, with a clear review process, is the single most important near-term investment.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7c68" w:sz="1"/>
              <w:left w:val="single" w:color="5c7c68" w:sz="12"/>
              <w:bottom w:val="single" w:color="5c7c68" w:sz="1"/>
              <w:right w:val="single" w:color="5c7c68" w:sz="1"/>
            </w:tcBorders>
            <w:shd w:fill="EEF6EF" w:val="clear"/>
            <w:tcMar>
              <w:top w:type="dxa" w:w="120"/>
              <w:left w:type="dxa" w:w="200"/>
              <w:bottom w:type="dxa" w:w="120"/>
              <w:right w:type="dxa" w:w="200"/>
            </w:tcMar>
          </w:tcPr>
          <w:p>
            <w:pPr>
              <w:spacing w:before="0" w:after="60"/>
            </w:pPr>
            <w:r>
              <w:rPr>
                <w:rFonts w:ascii="Arial" w:cs="Arial" w:eastAsia="Arial" w:hAnsi="Arial"/>
                <w:b/>
                <w:bCs/>
                <w:color w:val="5c7c68"/>
                <w:sz w:val="20"/>
                <w:szCs w:val="20"/>
              </w:rPr>
              <w:t xml:space="preserve">Bottom line</w:t>
            </w:r>
          </w:p>
          <w:p>
            <w:pPr>
              <w:spacing w:before="0" w:after="0"/>
            </w:pPr>
            <w:r>
              <w:rPr>
                <w:rFonts w:ascii="Arial" w:cs="Arial" w:eastAsia="Arial" w:hAnsi="Arial"/>
                <w:color w:val="333333"/>
                <w:sz w:val="20"/>
                <w:szCs w:val="20"/>
              </w:rPr>
              <w:t xml:space="preserve">Grant Tracker has a unique value proposition no competitor can claim today. The opportunity is to build the habits, data, and social proof that make that proposition credible — and then grow from there.</w:t>
            </w:r>
          </w:p>
        </w:tc>
      </w:tr>
    </w:tbl>
    <w:p>
      <w:pPr>
        <w:spacing w:before="400" w:after="0"/>
      </w:pPr>
      <w:r>
        <w:t xml:space="preserve"/>
      </w:r>
    </w:p>
    <w:p>
      <w:pPr>
        <w:jc w:val="center"/>
      </w:pPr>
      <w:r>
        <w:rPr>
          <w:rFonts w:ascii="Arial" w:cs="Arial" w:eastAsia="Arial" w:hAnsi="Arial"/>
          <w:i/>
          <w:iCs/>
          <w:color w:val="AAAAAA"/>
          <w:sz w:val="18"/>
          <w:szCs w:val="18"/>
        </w:rPr>
        <w:t xml:space="preserve">Grant Tracker  •  Market Review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0d0" w:sz="4" w:space="4"/>
      </w:pBdr>
      <w:jc w:val="right"/>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0d0" w:sz="4" w:space="4"/>
      </w:pBdr>
      <w:tabs>
        <w:tab w:val="right" w:pos="9360"/>
      </w:tabs>
    </w:pPr>
    <w:r>
      <w:rPr>
        <w:rFonts w:ascii="Arial" w:cs="Arial" w:eastAsia="Arial" w:hAnsi="Arial"/>
        <w:color w:val="5c7c68"/>
        <w:sz w:val="18"/>
        <w:szCs w:val="18"/>
      </w:rPr>
      <w:t xml:space="preserve">Grant Tracker  —  Market Review</w:t>
    </w:r>
    <w:r>
      <w:rPr>
        <w:rFonts w:ascii="Arial" w:cs="Arial" w:eastAsia="Arial" w:hAnsi="Arial"/>
        <w:color w:val="AAAAAA"/>
        <w:sz w:val="18"/>
        <w:szCs w:val="18"/>
      </w:rPr>
      <w:t xml:space="preserve">	Confidential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c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3c2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c7c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2026-02-25T16:39:41.993Z</dcterms:created>
  <dcterms:modified xsi:type="dcterms:W3CDTF">2026-02-25T16:39:41.994Z</dcterms:modified>
</cp:coreProperties>
</file>

<file path=docProps/custom.xml><?xml version="1.0" encoding="utf-8"?>
<Properties xmlns="http://schemas.openxmlformats.org/officeDocument/2006/custom-properties" xmlns:vt="http://schemas.openxmlformats.org/officeDocument/2006/docPropsVTypes"/>
</file>