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C58A00"/>
          <w:sz w:val="24"/>
        </w:rPr>
        <w:t>KADA COURT HUB</w:t>
      </w:r>
    </w:p>
    <w:p>
      <w:pPr>
        <w:spacing w:after="160"/>
        <w:jc w:val="center"/>
      </w:pPr>
      <w:r>
        <w:rPr>
          <w:rFonts w:ascii="Calibri" w:hAnsi="Calibri"/>
          <w:b/>
          <w:color w:val="0B2545"/>
          <w:sz w:val="50"/>
        </w:rPr>
        <w:t>Owner Service Agreement</w:t>
      </w:r>
    </w:p>
    <w:p>
      <w:pPr>
        <w:spacing w:after="400"/>
        <w:jc w:val="center"/>
      </w:pPr>
      <w:r>
        <w:rPr>
          <w:rFonts w:ascii="Calibri" w:hAnsi="Calibri"/>
          <w:color w:val="5B6573"/>
          <w:sz w:val="21"/>
        </w:rPr>
        <w:t>Draft version 1.0  |  August 29, 2026</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6DE"/>
          </w:tcPr>
          <w:p>
            <w:pPr>
              <w:spacing w:after="40"/>
            </w:pPr>
            <w:r>
              <w:rPr>
                <w:rFonts w:ascii="Calibri" w:hAnsi="Calibri"/>
                <w:b/>
                <w:color w:val="C58A00"/>
                <w:sz w:val="21"/>
              </w:rPr>
              <w:t xml:space="preserve">REVIEW DRAFT. </w:t>
            </w:r>
            <w:r>
              <w:rPr>
                <w:rFonts w:ascii="Calibri" w:hAnsi="Calibri"/>
                <w:color w:val="0B2545"/>
                <w:sz w:val="21"/>
              </w:rPr>
              <w:t>This plain-language draft reflects KADA Court Hub’s current business decisions. It must be reviewed by a qualified attorney before use with paying customers.</w:t>
            </w:r>
          </w:p>
        </w:tc>
      </w:tr>
    </w:tbl>
    <w:p>
      <w:pPr>
        <w:spacing w:after="20"/>
      </w:pPr>
    </w:p>
    <w:tbl>
      <w:tblPr>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80" w:type="dxa"/>
              <w:start w:w="120" w:type="dxa"/>
              <w:bottom w:w="80" w:type="dxa"/>
              <w:end w:w="120" w:type="dxa"/>
            </w:tcMar>
            <w:shd w:fill="F2F4F7"/>
          </w:tcPr>
          <w:p>
            <w:r>
              <w:rPr>
                <w:rFonts w:ascii="Calibri" w:hAnsi="Calibri"/>
                <w:b/>
                <w:color w:val="0B2545"/>
                <w:sz w:val="21"/>
              </w:rPr>
              <w:t>Provider</w:t>
            </w:r>
          </w:p>
        </w:tc>
        <w:tc>
          <w:tcPr>
            <w:tcW w:type="dxa" w:w="7660"/>
            <w:vAlign w:val="center"/>
            <w:tcMar>
              <w:top w:w="80" w:type="dxa"/>
              <w:start w:w="120" w:type="dxa"/>
              <w:bottom w:w="80" w:type="dxa"/>
              <w:end w:w="120" w:type="dxa"/>
            </w:tcMar>
          </w:tcPr>
          <w:p>
            <w:r>
              <w:rPr>
                <w:rFonts w:ascii="Calibri" w:hAnsi="Calibri"/>
                <w:sz w:val="21"/>
              </w:rPr>
              <w:t>KADA Court Hub [legal entity name and address to be inserted]</w:t>
            </w:r>
          </w:p>
        </w:tc>
      </w:tr>
      <w:tr>
        <w:tc>
          <w:tcPr>
            <w:tcW w:type="dxa" w:w="1700"/>
            <w:vAlign w:val="center"/>
            <w:tcMar>
              <w:top w:w="80" w:type="dxa"/>
              <w:start w:w="120" w:type="dxa"/>
              <w:bottom w:w="80" w:type="dxa"/>
              <w:end w:w="120" w:type="dxa"/>
            </w:tcMar>
            <w:shd w:fill="F2F4F7"/>
          </w:tcPr>
          <w:p>
            <w:r>
              <w:rPr>
                <w:rFonts w:ascii="Calibri" w:hAnsi="Calibri"/>
                <w:b/>
                <w:color w:val="0B2545"/>
                <w:sz w:val="21"/>
              </w:rPr>
              <w:t>Owner</w:t>
            </w:r>
          </w:p>
        </w:tc>
        <w:tc>
          <w:tcPr>
            <w:tcW w:type="dxa" w:w="7660"/>
            <w:vAlign w:val="center"/>
            <w:tcMar>
              <w:top w:w="80" w:type="dxa"/>
              <w:start w:w="120" w:type="dxa"/>
              <w:bottom w:w="80" w:type="dxa"/>
              <w:end w:w="120" w:type="dxa"/>
            </w:tcMar>
          </w:tcPr>
          <w:p>
            <w:r>
              <w:rPr>
                <w:rFonts w:ascii="Calibri" w:hAnsi="Calibri"/>
                <w:sz w:val="21"/>
              </w:rPr>
              <w:t>[Conference owner legal name / business name]</w:t>
            </w:r>
          </w:p>
        </w:tc>
      </w:tr>
      <w:tr>
        <w:tc>
          <w:tcPr>
            <w:tcW w:type="dxa" w:w="1700"/>
            <w:vAlign w:val="center"/>
            <w:tcMar>
              <w:top w:w="80" w:type="dxa"/>
              <w:start w:w="120" w:type="dxa"/>
              <w:bottom w:w="80" w:type="dxa"/>
              <w:end w:w="120" w:type="dxa"/>
            </w:tcMar>
            <w:shd w:fill="F2F4F7"/>
          </w:tcPr>
          <w:p>
            <w:r>
              <w:rPr>
                <w:rFonts w:ascii="Calibri" w:hAnsi="Calibri"/>
                <w:b/>
                <w:color w:val="0B2545"/>
                <w:sz w:val="21"/>
              </w:rPr>
              <w:t>Conference</w:t>
            </w:r>
          </w:p>
        </w:tc>
        <w:tc>
          <w:tcPr>
            <w:tcW w:type="dxa" w:w="7660"/>
            <w:vAlign w:val="center"/>
            <w:tcMar>
              <w:top w:w="80" w:type="dxa"/>
              <w:start w:w="120" w:type="dxa"/>
              <w:bottom w:w="80" w:type="dxa"/>
              <w:end w:w="120" w:type="dxa"/>
            </w:tcMar>
          </w:tcPr>
          <w:p>
            <w:r>
              <w:rPr>
                <w:rFonts w:ascii="Calibri" w:hAnsi="Calibri"/>
                <w:sz w:val="21"/>
              </w:rPr>
              <w:t>[Conference name]</w:t>
            </w:r>
          </w:p>
        </w:tc>
      </w:tr>
      <w:tr>
        <w:tc>
          <w:tcPr>
            <w:tcW w:type="dxa" w:w="1700"/>
            <w:vAlign w:val="center"/>
            <w:tcMar>
              <w:top w:w="80" w:type="dxa"/>
              <w:start w:w="120" w:type="dxa"/>
              <w:bottom w:w="80" w:type="dxa"/>
              <w:end w:w="120" w:type="dxa"/>
            </w:tcMar>
            <w:shd w:fill="F2F4F7"/>
          </w:tcPr>
          <w:p>
            <w:r>
              <w:rPr>
                <w:rFonts w:ascii="Calibri" w:hAnsi="Calibri"/>
                <w:b/>
                <w:color w:val="0B2545"/>
                <w:sz w:val="21"/>
              </w:rPr>
              <w:t>Effective date</w:t>
            </w:r>
          </w:p>
        </w:tc>
        <w:tc>
          <w:tcPr>
            <w:tcW w:type="dxa" w:w="7660"/>
            <w:vAlign w:val="center"/>
            <w:tcMar>
              <w:top w:w="80" w:type="dxa"/>
              <w:start w:w="120" w:type="dxa"/>
              <w:bottom w:w="80" w:type="dxa"/>
              <w:end w:w="120" w:type="dxa"/>
            </w:tcMar>
          </w:tcPr>
          <w:p>
            <w:r>
              <w:rPr>
                <w:rFonts w:ascii="Calibri" w:hAnsi="Calibri"/>
                <w:sz w:val="21"/>
              </w:rPr>
              <w:t>[Date agreement is accepted]</w:t>
            </w:r>
          </w:p>
        </w:tc>
      </w:tr>
    </w:tbl>
    <w:p>
      <w:pPr>
        <w:keepNext/>
        <w:spacing w:before="280" w:after="140"/>
      </w:pPr>
      <w:r>
        <w:rPr>
          <w:rFonts w:ascii="Calibri" w:hAnsi="Calibri"/>
          <w:b/>
          <w:color w:val="2E74B5"/>
          <w:sz w:val="32"/>
        </w:rPr>
        <w:t>1. Agreement and Service</w:t>
      </w:r>
    </w:p>
    <w:p>
      <w:pPr>
        <w:spacing w:before="0" w:after="120" w:line="281" w:lineRule="auto"/>
      </w:pPr>
      <w:r>
        <w:rPr>
          <w:rFonts w:ascii="Calibri" w:hAnsi="Calibri"/>
          <w:i w:val="0"/>
          <w:sz w:val="22"/>
        </w:rPr>
        <w:t>This Agreement governs the Owner’s use of KADA Court Hub (“KCH”) to organize and operate the Conference identified above. KCH provides software tools for conference setup, rosters, teams, schedules, scores, standings, payment tracking, and related administration.</w:t>
      </w:r>
    </w:p>
    <w:p>
      <w:pPr>
        <w:spacing w:before="0" w:after="120" w:line="281" w:lineRule="auto"/>
      </w:pPr>
      <w:r>
        <w:rPr>
          <w:rFonts w:ascii="Calibri" w:hAnsi="Calibri"/>
          <w:i w:val="0"/>
          <w:sz w:val="22"/>
        </w:rPr>
        <w:t>The Owner operates the Conference independently. The Owner is responsible for league rules, venues, team participation, player collections, and all decisions made for the Conference.</w:t>
      </w:r>
    </w:p>
    <w:p>
      <w:pPr>
        <w:keepNext/>
        <w:spacing w:before="280" w:after="140"/>
      </w:pPr>
      <w:r>
        <w:rPr>
          <w:rFonts w:ascii="Calibri" w:hAnsi="Calibri"/>
          <w:b/>
          <w:color w:val="2E74B5"/>
          <w:sz w:val="32"/>
        </w:rPr>
        <w:t>2. Season Subscription and Pricing</w:t>
      </w:r>
    </w:p>
    <w:p>
      <w:pPr>
        <w:spacing w:before="0" w:after="120" w:line="281" w:lineRule="auto"/>
      </w:pPr>
      <w:r>
        <w:rPr>
          <w:rFonts w:ascii="Calibri" w:hAnsi="Calibri"/>
          <w:i w:val="0"/>
          <w:sz w:val="22"/>
        </w:rPr>
        <w:t>For each non-pilot season, the Owner owes KCH a season subscription consisting of:</w:t>
      </w:r>
    </w:p>
    <w:p>
      <w:pPr>
        <w:pStyle w:val="ListBullet"/>
        <w:spacing w:after="80" w:line="281" w:lineRule="auto"/>
      </w:pPr>
      <w:r>
        <w:rPr>
          <w:rFonts w:ascii="Calibri" w:hAnsi="Calibri"/>
          <w:sz w:val="22"/>
        </w:rPr>
        <w:t>$50.00 per Owner, per season; and</w:t>
      </w:r>
    </w:p>
    <w:p>
      <w:pPr>
        <w:pStyle w:val="ListBullet"/>
        <w:spacing w:after="80" w:line="281" w:lineRule="auto"/>
      </w:pPr>
      <w:r>
        <w:rPr>
          <w:rFonts w:ascii="Calibri" w:hAnsi="Calibri"/>
          <w:sz w:val="22"/>
        </w:rPr>
        <w:t>$3.00 for each active player registered in a division for that season.</w:t>
      </w:r>
    </w:p>
    <w:p>
      <w:pPr>
        <w:spacing w:before="0" w:after="120" w:line="281" w:lineRule="auto"/>
      </w:pPr>
      <w:r>
        <w:rPr>
          <w:rFonts w:ascii="Calibri" w:hAnsi="Calibri"/>
          <w:i w:val="0"/>
          <w:sz w:val="22"/>
        </w:rPr>
        <w:t>An active player registered in a division is a player the Owner has placed in that division for the season and who remains eligible to play. A person who is not currently registered in a division does not count toward this charge merely because the person has an active KCH profile.</w:t>
      </w:r>
    </w:p>
    <w:p>
      <w:pPr>
        <w:spacing w:before="0" w:after="120" w:line="281" w:lineRule="auto"/>
      </w:pPr>
      <w:r>
        <w:rPr>
          <w:rFonts w:ascii="Calibri" w:hAnsi="Calibri"/>
          <w:i w:val="0"/>
          <w:sz w:val="22"/>
        </w:rPr>
        <w:t>KCH does not add a setup fee. The Owner may set its own league fees and decide how to include KCH’s cost within those fees.</w:t>
      </w:r>
    </w:p>
    <w:p>
      <w:pPr>
        <w:keepNext/>
        <w:spacing w:before="280" w:after="140"/>
      </w:pPr>
      <w:r>
        <w:rPr>
          <w:rFonts w:ascii="Calibri" w:hAnsi="Calibri"/>
          <w:b/>
          <w:color w:val="2E74B5"/>
          <w:sz w:val="32"/>
        </w:rPr>
        <w:t>3. Pilot Seasons</w:t>
      </w:r>
    </w:p>
    <w:p>
      <w:pPr>
        <w:spacing w:before="0" w:after="120" w:line="281" w:lineRule="auto"/>
      </w:pPr>
      <w:r>
        <w:rPr>
          <w:rFonts w:ascii="Calibri" w:hAnsi="Calibri"/>
          <w:i w:val="0"/>
          <w:sz w:val="22"/>
        </w:rPr>
        <w:t>KCH may select a Conference for one complimentary pilot regular season to test the product and provide feedback. A pilot season does not include playoffs unless KCH confirms otherwise in writing. Pilot participation does not create a continuing right to free service or change the pricing for later seasons.</w:t>
      </w:r>
    </w:p>
    <w:p>
      <w:pPr>
        <w:keepNext/>
        <w:spacing w:before="280" w:after="140"/>
      </w:pPr>
      <w:r>
        <w:rPr>
          <w:rFonts w:ascii="Calibri" w:hAnsi="Calibri"/>
          <w:b/>
          <w:color w:val="2E74B5"/>
          <w:sz w:val="32"/>
        </w:rPr>
        <w:t>4. Payment Tracking and Owner Collections</w:t>
      </w:r>
    </w:p>
    <w:p>
      <w:pPr>
        <w:spacing w:before="0" w:after="120" w:line="281" w:lineRule="auto"/>
      </w:pPr>
      <w:r>
        <w:rPr>
          <w:rFonts w:ascii="Calibri" w:hAnsi="Calibri"/>
          <w:i w:val="0"/>
          <w:sz w:val="22"/>
        </w:rPr>
        <w:t>KCH tracks the Owner’s subscription obligation. KCH does not collect player league fees, process player payments, hold player funds, or act as the Owner’s payment agent.</w:t>
      </w:r>
    </w:p>
    <w:p>
      <w:pPr>
        <w:spacing w:before="0" w:after="120" w:line="281" w:lineRule="auto"/>
      </w:pPr>
      <w:r>
        <w:rPr>
          <w:rFonts w:ascii="Calibri" w:hAnsi="Calibri"/>
          <w:i w:val="0"/>
          <w:sz w:val="22"/>
        </w:rPr>
        <w:t>The Owner’s season subscription is due when the Owner has collected league fees from all active players registered in divisions for that season, or when the season begins, whichever occurs first. The Owner submits payment to KCH using the methods made available by KCH. KCH may manually confirm a submitted payment.</w:t>
      </w:r>
    </w:p>
    <w:p>
      <w:pPr>
        <w:keepNext/>
        <w:spacing w:before="280" w:after="140"/>
      </w:pPr>
      <w:r>
        <w:rPr>
          <w:rFonts w:ascii="Calibri" w:hAnsi="Calibri"/>
          <w:b/>
          <w:color w:val="2E74B5"/>
          <w:sz w:val="32"/>
        </w:rPr>
        <w:t>5. Late Payment, Suspension, and Reinstatement</w:t>
      </w:r>
    </w:p>
    <w:p>
      <w:pPr>
        <w:spacing w:before="0" w:after="120" w:line="281" w:lineRule="auto"/>
      </w:pPr>
      <w:r>
        <w:rPr>
          <w:rFonts w:ascii="Calibri" w:hAnsi="Calibri"/>
          <w:i w:val="0"/>
          <w:sz w:val="22"/>
        </w:rPr>
        <w:t>KCH will address an overdue subscription with the Owner before taking action. Suspension is not automatic. After discussion, KCH may manually suspend the Owner’s KCH access until the issue is resolved. A suspended Owner may not log in as an owner or make owner changes. KCH may restore access after manual review.</w:t>
      </w:r>
    </w:p>
    <w:p>
      <w:pPr>
        <w:spacing w:before="0" w:after="120" w:line="281" w:lineRule="auto"/>
      </w:pPr>
      <w:r>
        <w:rPr>
          <w:rFonts w:ascii="Calibri" w:hAnsi="Calibri"/>
          <w:i w:val="0"/>
          <w:sz w:val="22"/>
        </w:rPr>
        <w:t>Suspension of an Owner does not by itself change a player’s or captain’s access during an active season. KCH may take additional action when necessary to protect the service, users, or data.</w:t>
      </w:r>
    </w:p>
    <w:p>
      <w:pPr>
        <w:keepNext/>
        <w:spacing w:before="280" w:after="140"/>
      </w:pPr>
      <w:r>
        <w:rPr>
          <w:rFonts w:ascii="Calibri" w:hAnsi="Calibri"/>
          <w:b/>
          <w:color w:val="2E74B5"/>
          <w:sz w:val="32"/>
        </w:rPr>
        <w:t>6. Owner Responsibilities</w:t>
      </w:r>
    </w:p>
    <w:p>
      <w:pPr>
        <w:pStyle w:val="ListBullet"/>
        <w:spacing w:after="80" w:line="281" w:lineRule="auto"/>
      </w:pPr>
      <w:r>
        <w:rPr>
          <w:rFonts w:ascii="Calibri" w:hAnsi="Calibri"/>
          <w:sz w:val="22"/>
        </w:rPr>
        <w:t>Maintain accurate Conference, team, player, schedule, and contact information.</w:t>
      </w:r>
    </w:p>
    <w:p>
      <w:pPr>
        <w:pStyle w:val="ListBullet"/>
        <w:spacing w:after="80" w:line="281" w:lineRule="auto"/>
      </w:pPr>
      <w:r>
        <w:rPr>
          <w:rFonts w:ascii="Calibri" w:hAnsi="Calibri"/>
          <w:sz w:val="22"/>
        </w:rPr>
        <w:t>Use KCH lawfully and only for authorized Conference activity.</w:t>
      </w:r>
    </w:p>
    <w:p>
      <w:pPr>
        <w:pStyle w:val="ListBullet"/>
        <w:spacing w:after="80" w:line="281" w:lineRule="auto"/>
      </w:pPr>
      <w:r>
        <w:rPr>
          <w:rFonts w:ascii="Calibri" w:hAnsi="Calibri"/>
          <w:sz w:val="22"/>
        </w:rPr>
        <w:t>Keep account credentials secure and promptly report suspected unauthorized access.</w:t>
      </w:r>
    </w:p>
    <w:p>
      <w:pPr>
        <w:pStyle w:val="ListBullet"/>
        <w:spacing w:after="80" w:line="281" w:lineRule="auto"/>
      </w:pPr>
      <w:r>
        <w:rPr>
          <w:rFonts w:ascii="Calibri" w:hAnsi="Calibri"/>
          <w:sz w:val="22"/>
        </w:rPr>
        <w:t>Obtain any permissions needed for participant information, communications, and league operations.</w:t>
      </w:r>
    </w:p>
    <w:p>
      <w:pPr>
        <w:pStyle w:val="ListBullet"/>
        <w:spacing w:after="80" w:line="281" w:lineRule="auto"/>
      </w:pPr>
      <w:r>
        <w:rPr>
          <w:rFonts w:ascii="Calibri" w:hAnsi="Calibri"/>
          <w:sz w:val="22"/>
        </w:rPr>
        <w:t>Remain responsible for player fees, refunds, venue arrangements, insurance, rules, and on-court conduct.</w:t>
      </w:r>
    </w:p>
    <w:p>
      <w:pPr>
        <w:keepNext/>
        <w:spacing w:before="280" w:after="140"/>
      </w:pPr>
      <w:r>
        <w:rPr>
          <w:rFonts w:ascii="Calibri" w:hAnsi="Calibri"/>
          <w:b/>
          <w:color w:val="2E74B5"/>
          <w:sz w:val="32"/>
        </w:rPr>
        <w:t>7. Conference Data and Privacy</w:t>
      </w:r>
    </w:p>
    <w:p>
      <w:pPr>
        <w:spacing w:before="0" w:after="120" w:line="281" w:lineRule="auto"/>
      </w:pPr>
      <w:r>
        <w:rPr>
          <w:rFonts w:ascii="Calibri" w:hAnsi="Calibri"/>
          <w:i w:val="0"/>
          <w:sz w:val="22"/>
        </w:rPr>
        <w:t>Each Conference’s information is kept separate from other conferences through KCH’s access controls. KCH may access Conference information only as reasonably necessary to provide, administer, secure, or support the service, or as required by law.</w:t>
      </w:r>
    </w:p>
    <w:p>
      <w:pPr>
        <w:spacing w:before="0" w:after="120" w:line="281" w:lineRule="auto"/>
      </w:pPr>
      <w:r>
        <w:rPr>
          <w:rFonts w:ascii="Calibri" w:hAnsi="Calibri"/>
          <w:i w:val="0"/>
          <w:sz w:val="22"/>
        </w:rPr>
        <w:t>KCH will provide a Privacy Notice describing its information practices. The Owner must not use KCH to disclose another person’s information without authorization.</w:t>
      </w:r>
    </w:p>
    <w:p>
      <w:pPr>
        <w:keepNext/>
        <w:spacing w:before="280" w:after="140"/>
      </w:pPr>
      <w:r>
        <w:rPr>
          <w:rFonts w:ascii="Calibri" w:hAnsi="Calibri"/>
          <w:b/>
          <w:color w:val="2E74B5"/>
          <w:sz w:val="32"/>
        </w:rPr>
        <w:t>8. Names, Logos, Photos, and Feedback</w:t>
      </w:r>
    </w:p>
    <w:p>
      <w:pPr>
        <w:spacing w:before="0" w:after="120" w:line="281" w:lineRule="auto"/>
      </w:pPr>
      <w:r>
        <w:rPr>
          <w:rFonts w:ascii="Calibri" w:hAnsi="Calibri"/>
          <w:i w:val="0"/>
          <w:sz w:val="22"/>
        </w:rPr>
        <w:t>KCH may use general feedback supplied by the Owner to improve the service. KCH will obtain separate written permission before using the Owner’s Conference name, logo, photographs, testimonials, or other identifiable promotional material in marketing.</w:t>
      </w:r>
    </w:p>
    <w:p>
      <w:pPr>
        <w:keepNext/>
        <w:spacing w:before="280" w:after="140"/>
      </w:pPr>
      <w:r>
        <w:rPr>
          <w:rFonts w:ascii="Calibri" w:hAnsi="Calibri"/>
          <w:b/>
          <w:color w:val="2E74B5"/>
          <w:sz w:val="32"/>
        </w:rPr>
        <w:t>9. Termination and Records</w:t>
      </w:r>
    </w:p>
    <w:p>
      <w:pPr>
        <w:spacing w:before="0" w:after="120" w:line="281" w:lineRule="auto"/>
      </w:pPr>
      <w:r>
        <w:rPr>
          <w:rFonts w:ascii="Calibri" w:hAnsi="Calibri"/>
          <w:i w:val="0"/>
          <w:sz w:val="22"/>
        </w:rPr>
        <w:t>Either party may end the service relationship by written notice, subject to any unpaid subscription obligation. KCH may end or restrict access for material misuse, unlawful activity, a security risk, or repeated nonpayment after discussion with the Owner.</w:t>
      </w:r>
    </w:p>
    <w:p>
      <w:pPr>
        <w:spacing w:before="0" w:after="120" w:line="281" w:lineRule="auto"/>
      </w:pPr>
      <w:r>
        <w:rPr>
          <w:rFonts w:ascii="Calibri" w:hAnsi="Calibri"/>
          <w:i w:val="0"/>
          <w:sz w:val="22"/>
        </w:rPr>
        <w:t>KCH may retain reasonable account, payment, and historical conference records for administration, legal compliance, security, and service continuity. The final retention and deletion process will be described in KCH’s Privacy Notice.</w:t>
      </w:r>
    </w:p>
    <w:p>
      <w:pPr>
        <w:keepNext/>
        <w:spacing w:before="280" w:after="140"/>
      </w:pPr>
      <w:r>
        <w:rPr>
          <w:rFonts w:ascii="Calibri" w:hAnsi="Calibri"/>
          <w:b/>
          <w:color w:val="2E74B5"/>
          <w:sz w:val="32"/>
        </w:rPr>
        <w:t>10. Service Availability and Legal Terms</w:t>
      </w:r>
    </w:p>
    <w:p>
      <w:pPr>
        <w:spacing w:before="0" w:after="120" w:line="281" w:lineRule="auto"/>
      </w:pPr>
      <w:r>
        <w:rPr>
          <w:rFonts w:ascii="Calibri" w:hAnsi="Calibri"/>
          <w:i w:val="0"/>
          <w:sz w:val="22"/>
        </w:rPr>
        <w:t>KCH will use reasonable efforts to provide the service, but service may be interrupted for maintenance, security, internet failures, or events outside KCH’s reasonable control. The parties should have a qualified attorney review and finalize the governing-law, dispute-resolution, limitation-of-liability, indemnity, tax, and notice provisions before this Agreement is used with paying customers.</w:t>
      </w:r>
    </w:p>
    <w:p>
      <w:pPr>
        <w:keepNext/>
        <w:spacing w:before="280" w:after="140"/>
      </w:pPr>
      <w:r>
        <w:rPr>
          <w:rFonts w:ascii="Calibri" w:hAnsi="Calibri"/>
          <w:b/>
          <w:color w:val="2E74B5"/>
          <w:sz w:val="32"/>
        </w:rPr>
        <w:t>11. Changes to this Agreement</w:t>
      </w:r>
    </w:p>
    <w:p>
      <w:pPr>
        <w:spacing w:before="0" w:after="120" w:line="281" w:lineRule="auto"/>
      </w:pPr>
      <w:r>
        <w:rPr>
          <w:rFonts w:ascii="Calibri" w:hAnsi="Calibri"/>
          <w:i w:val="0"/>
          <w:sz w:val="22"/>
        </w:rPr>
        <w:t>KCH may update this Agreement for future seasons by providing notice to the Owner. Material changes will apply to a future season only after the Owner has an opportunity to review and accept the updated version, unless a different legal requirement applies.</w:t>
      </w:r>
    </w:p>
    <w:p>
      <w:pPr>
        <w:keepNext/>
        <w:spacing w:before="280" w:after="140"/>
      </w:pPr>
      <w:r>
        <w:rPr>
          <w:rFonts w:ascii="Calibri" w:hAnsi="Calibri"/>
          <w:b/>
          <w:color w:val="2E74B5"/>
          <w:sz w:val="32"/>
        </w:rPr>
        <w:t>12. Electronic Agreement</w:t>
      </w:r>
    </w:p>
    <w:p>
      <w:pPr>
        <w:spacing w:before="0" w:after="120" w:line="281" w:lineRule="auto"/>
      </w:pPr>
      <w:r>
        <w:rPr>
          <w:rFonts w:ascii="Calibri" w:hAnsi="Calibri"/>
          <w:i w:val="0"/>
          <w:sz w:val="22"/>
        </w:rPr>
        <w:t>By checking the agreement box and typing a legal name in KCH, the Owner agrees to conduct this transaction electronically and accepts this Agreement. KCH will retain the agreement version, typed name, and acceptance time as its electronic record of acceptance. The Owner may retain a copy of this Agreement.</w:t>
      </w:r>
    </w:p>
    <w:p>
      <w:pPr>
        <w:keepNext/>
        <w:pageBreakBefore/>
        <w:spacing w:before="280" w:after="140"/>
      </w:pPr>
      <w:r>
        <w:rPr>
          <w:rFonts w:ascii="Calibri" w:hAnsi="Calibri"/>
          <w:b/>
          <w:color w:val="2E74B5"/>
          <w:sz w:val="32"/>
        </w:rPr>
        <w:t>Acceptance</w:t>
      </w:r>
    </w:p>
    <w:p>
      <w:pPr>
        <w:spacing w:before="0" w:after="280" w:line="281" w:lineRule="auto"/>
      </w:pPr>
      <w:r>
        <w:rPr>
          <w:rFonts w:ascii="Calibri" w:hAnsi="Calibri"/>
          <w:i w:val="0"/>
          <w:sz w:val="22"/>
        </w:rPr>
        <w:t>Owner legal name: ______________________________________________</w:t>
      </w:r>
    </w:p>
    <w:p>
      <w:pPr>
        <w:spacing w:before="0" w:after="280" w:line="281" w:lineRule="auto"/>
      </w:pPr>
      <w:r>
        <w:rPr>
          <w:rFonts w:ascii="Calibri" w:hAnsi="Calibri"/>
          <w:i w:val="0"/>
          <w:sz w:val="22"/>
        </w:rPr>
        <w:t>Conference name: _______________________________________________</w:t>
      </w:r>
    </w:p>
    <w:p>
      <w:pPr>
        <w:spacing w:before="0" w:after="360" w:line="281" w:lineRule="auto"/>
      </w:pPr>
      <w:r>
        <w:rPr>
          <w:rFonts w:ascii="Calibri" w:hAnsi="Calibri"/>
          <w:i w:val="0"/>
          <w:sz w:val="22"/>
        </w:rPr>
        <w:t>Date accepted: __________________________________________________</w:t>
      </w:r>
    </w:p>
    <w:p>
      <w:pPr>
        <w:spacing w:before="0" w:after="0" w:line="281" w:lineRule="auto"/>
      </w:pPr>
      <w:r>
        <w:rPr>
          <w:rFonts w:ascii="Calibri" w:hAnsi="Calibri"/>
          <w:i/>
          <w:sz w:val="22"/>
        </w:rPr>
        <w:t>By signing electronically in KCH, the Owner confirms that they have authority to enter into this Agreement for the Conference.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5B6573"/>
        <w:sz w:val="17"/>
      </w:rPr>
      <w:t>Draft for business and legal review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3"/>
        <w:sz w:val="17"/>
      </w:rPr>
      <w:t>KADA COURT HUB  |  OWNER SERVICE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