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7B8D" w14:textId="13DD9126" w:rsidR="004E6454" w:rsidRDefault="00C56036" w:rsidP="00ED3C5C">
      <w:pPr>
        <w:spacing w:line="240" w:lineRule="auto"/>
        <w:rPr>
          <w:rFonts w:ascii="Arial" w:hAnsi="Arial" w:cs="Arial"/>
          <w:sz w:val="24"/>
          <w:szCs w:val="32"/>
        </w:rPr>
      </w:pPr>
      <w:r>
        <w:rPr>
          <w:rFonts w:ascii="Arial" w:hAnsi="Arial" w:cs="Arial"/>
          <w:sz w:val="24"/>
          <w:szCs w:val="32"/>
        </w:rPr>
        <w:t>GROUP 4:</w:t>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t>SP101 – BSIT 3B</w:t>
      </w:r>
    </w:p>
    <w:p w14:paraId="35A0FB84" w14:textId="17A38435" w:rsidR="00C56036" w:rsidRDefault="00C56036" w:rsidP="00ED3C5C">
      <w:pPr>
        <w:spacing w:line="240" w:lineRule="auto"/>
        <w:ind w:left="720"/>
        <w:rPr>
          <w:rFonts w:ascii="Arial" w:hAnsi="Arial" w:cs="Arial"/>
          <w:sz w:val="24"/>
          <w:szCs w:val="32"/>
        </w:rPr>
      </w:pPr>
      <w:r>
        <w:rPr>
          <w:rFonts w:ascii="Arial" w:hAnsi="Arial" w:cs="Arial"/>
          <w:sz w:val="24"/>
          <w:szCs w:val="32"/>
        </w:rPr>
        <w:t>ILUMIN, JUSTIN V.</w:t>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t>NOV. 27, 2024</w:t>
      </w:r>
    </w:p>
    <w:p w14:paraId="3F7B9132" w14:textId="6C5D2BB9" w:rsidR="00C56036" w:rsidRDefault="00C56036" w:rsidP="00ED3C5C">
      <w:pPr>
        <w:spacing w:line="240" w:lineRule="auto"/>
        <w:ind w:firstLine="720"/>
        <w:rPr>
          <w:rFonts w:ascii="Arial" w:hAnsi="Arial" w:cs="Arial"/>
          <w:sz w:val="24"/>
          <w:szCs w:val="32"/>
        </w:rPr>
      </w:pPr>
      <w:r>
        <w:rPr>
          <w:rFonts w:ascii="Arial" w:hAnsi="Arial" w:cs="Arial"/>
          <w:sz w:val="24"/>
          <w:szCs w:val="32"/>
        </w:rPr>
        <w:t>VERCELES, JERICK C.</w:t>
      </w:r>
    </w:p>
    <w:p w14:paraId="4D6343E1" w14:textId="77B0BBC1" w:rsidR="00C56036" w:rsidRDefault="00C56036" w:rsidP="00ED3C5C">
      <w:pPr>
        <w:spacing w:line="240" w:lineRule="auto"/>
        <w:ind w:firstLine="720"/>
        <w:rPr>
          <w:rFonts w:ascii="Arial" w:hAnsi="Arial" w:cs="Arial"/>
          <w:sz w:val="24"/>
          <w:szCs w:val="32"/>
        </w:rPr>
      </w:pPr>
      <w:r>
        <w:rPr>
          <w:rFonts w:ascii="Arial" w:hAnsi="Arial" w:cs="Arial"/>
          <w:sz w:val="24"/>
          <w:szCs w:val="32"/>
        </w:rPr>
        <w:t>SONIEGA III, DOMINADOR C.</w:t>
      </w:r>
    </w:p>
    <w:p w14:paraId="521FD82B" w14:textId="74A70CEE" w:rsidR="00C56036" w:rsidRDefault="00C56036" w:rsidP="00ED3C5C">
      <w:pPr>
        <w:spacing w:line="240" w:lineRule="auto"/>
        <w:ind w:firstLine="720"/>
        <w:rPr>
          <w:rFonts w:ascii="Arial" w:hAnsi="Arial" w:cs="Arial"/>
          <w:sz w:val="24"/>
          <w:szCs w:val="32"/>
        </w:rPr>
      </w:pPr>
      <w:r>
        <w:rPr>
          <w:rFonts w:ascii="Arial" w:hAnsi="Arial" w:cs="Arial"/>
          <w:sz w:val="24"/>
          <w:szCs w:val="32"/>
        </w:rPr>
        <w:t>PADLAN, CRISTINE B.</w:t>
      </w:r>
    </w:p>
    <w:p w14:paraId="6505CEA8" w14:textId="0B373F56" w:rsidR="00C56036" w:rsidRDefault="00C56036" w:rsidP="00ED3C5C">
      <w:pPr>
        <w:spacing w:line="240" w:lineRule="auto"/>
        <w:ind w:firstLine="720"/>
        <w:rPr>
          <w:rFonts w:ascii="Arial" w:hAnsi="Arial" w:cs="Arial"/>
          <w:sz w:val="24"/>
          <w:szCs w:val="32"/>
        </w:rPr>
      </w:pPr>
      <w:r>
        <w:rPr>
          <w:rFonts w:ascii="Arial" w:hAnsi="Arial" w:cs="Arial"/>
          <w:sz w:val="24"/>
          <w:szCs w:val="32"/>
        </w:rPr>
        <w:t>PRADO, LLOYD MARION G.</w:t>
      </w:r>
    </w:p>
    <w:p w14:paraId="710D3112" w14:textId="6851A3E1" w:rsidR="00C56036" w:rsidRDefault="00C56036" w:rsidP="00ED3C5C">
      <w:pPr>
        <w:spacing w:line="240" w:lineRule="auto"/>
        <w:ind w:firstLine="720"/>
        <w:rPr>
          <w:rFonts w:ascii="Arial" w:hAnsi="Arial" w:cs="Arial"/>
          <w:sz w:val="24"/>
          <w:szCs w:val="32"/>
        </w:rPr>
      </w:pPr>
      <w:r>
        <w:rPr>
          <w:rFonts w:ascii="Arial" w:hAnsi="Arial" w:cs="Arial"/>
          <w:sz w:val="24"/>
          <w:szCs w:val="32"/>
        </w:rPr>
        <w:t>SISON, MARCO D.</w:t>
      </w:r>
    </w:p>
    <w:p w14:paraId="1F08CDD3" w14:textId="2FCCDE63" w:rsidR="00ED3C5C" w:rsidRDefault="00ED3C5C">
      <w:pPr>
        <w:rPr>
          <w:rFonts w:ascii="Arial" w:hAnsi="Arial" w:cs="Arial"/>
          <w:sz w:val="24"/>
          <w:szCs w:val="32"/>
        </w:rPr>
      </w:pPr>
    </w:p>
    <w:p w14:paraId="6D823593" w14:textId="47391AA1" w:rsidR="0023365D" w:rsidRDefault="00ED3C5C" w:rsidP="0023365D">
      <w:pPr>
        <w:jc w:val="center"/>
        <w:rPr>
          <w:rFonts w:ascii="Arial" w:hAnsi="Arial" w:cs="Arial"/>
          <w:sz w:val="24"/>
          <w:szCs w:val="32"/>
        </w:rPr>
      </w:pPr>
      <w:r>
        <w:rPr>
          <w:rFonts w:ascii="Arial" w:hAnsi="Arial" w:cs="Arial"/>
          <w:sz w:val="24"/>
          <w:szCs w:val="32"/>
        </w:rPr>
        <w:t xml:space="preserve">ACTIVITY NO. </w:t>
      </w:r>
      <w:r w:rsidR="0023365D">
        <w:rPr>
          <w:rFonts w:ascii="Arial" w:hAnsi="Arial" w:cs="Arial"/>
          <w:sz w:val="24"/>
          <w:szCs w:val="32"/>
        </w:rPr>
        <w:t>6</w:t>
      </w:r>
    </w:p>
    <w:p w14:paraId="16E63870" w14:textId="16C1E04B" w:rsidR="0023365D" w:rsidRPr="0023365D" w:rsidRDefault="0023365D" w:rsidP="0023365D">
      <w:pPr>
        <w:spacing w:line="360" w:lineRule="auto"/>
        <w:jc w:val="both"/>
        <w:rPr>
          <w:rFonts w:ascii="Arial" w:hAnsi="Arial" w:cs="Arial"/>
          <w:sz w:val="24"/>
          <w:szCs w:val="32"/>
        </w:rPr>
      </w:pPr>
      <w:r w:rsidRPr="0023365D">
        <w:rPr>
          <w:rFonts w:ascii="Arial" w:hAnsi="Arial" w:cs="Arial"/>
          <w:sz w:val="24"/>
          <w:szCs w:val="32"/>
        </w:rPr>
        <w:t>Term Paper on the Cybercrime Prevention Act of 2012 and the Electronic Commerce Act of 2000</w:t>
      </w:r>
    </w:p>
    <w:p w14:paraId="12D49832" w14:textId="26C66C39" w:rsidR="0023365D" w:rsidRPr="0023365D" w:rsidRDefault="0023365D" w:rsidP="0023365D">
      <w:pPr>
        <w:spacing w:line="360" w:lineRule="auto"/>
        <w:jc w:val="both"/>
        <w:rPr>
          <w:rFonts w:ascii="Arial" w:hAnsi="Arial" w:cs="Arial"/>
          <w:sz w:val="24"/>
          <w:szCs w:val="32"/>
        </w:rPr>
      </w:pPr>
      <w:r w:rsidRPr="0023365D">
        <w:rPr>
          <w:rFonts w:ascii="Arial" w:hAnsi="Arial" w:cs="Arial"/>
          <w:sz w:val="24"/>
          <w:szCs w:val="32"/>
        </w:rPr>
        <w:t>The Cybercrime Prevention Act of 2012 (RA 10175) and the Electronic Commerce Act of 2000 (RA 8792) represent significant milestones in the Philippines' efforts to address the challenges of the digital era. Together, these laws provide a robust legal framework for ensuring the safe and ethical use of digital technologies.</w:t>
      </w:r>
    </w:p>
    <w:p w14:paraId="4C92AA1D" w14:textId="01059A15" w:rsidR="0023365D" w:rsidRDefault="0023365D" w:rsidP="0023365D">
      <w:pPr>
        <w:spacing w:line="360" w:lineRule="auto"/>
        <w:jc w:val="both"/>
        <w:rPr>
          <w:rFonts w:ascii="Arial" w:hAnsi="Arial" w:cs="Arial"/>
          <w:sz w:val="24"/>
          <w:szCs w:val="32"/>
        </w:rPr>
      </w:pPr>
      <w:r w:rsidRPr="0023365D">
        <w:rPr>
          <w:rFonts w:ascii="Arial" w:hAnsi="Arial" w:cs="Arial"/>
          <w:sz w:val="24"/>
          <w:szCs w:val="32"/>
        </w:rPr>
        <w:t>The Cybercrime Prevention Act of 2012 focuses on combatting crimes in cyberspace, including hacking, identity theft, cyber libel, and cyberbullying. By criminalizing such acts, the law safeguards not only individual rights but also the integrity of digital systems crucial to societal functions. For instance, addressing identity theft protects citizens' privacy, while measures against cyber libel promote responsible communication online. These provisions are essential as cybercrime becomes a growing threat in a society increasingly reliant on technology.</w:t>
      </w:r>
    </w:p>
    <w:p w14:paraId="57D26F5F" w14:textId="198CBCF1" w:rsidR="0023365D" w:rsidRPr="0023365D" w:rsidRDefault="0023365D" w:rsidP="0023365D">
      <w:pPr>
        <w:spacing w:line="360" w:lineRule="auto"/>
        <w:jc w:val="both"/>
        <w:rPr>
          <w:rFonts w:ascii="Arial" w:hAnsi="Arial" w:cs="Arial"/>
          <w:sz w:val="24"/>
          <w:szCs w:val="32"/>
        </w:rPr>
      </w:pPr>
      <w:r w:rsidRPr="0023365D">
        <w:rPr>
          <w:rFonts w:ascii="Arial" w:hAnsi="Arial" w:cs="Arial"/>
          <w:sz w:val="24"/>
          <w:szCs w:val="32"/>
        </w:rPr>
        <w:t>The Electronic Commerce Act of 2000, on the other hand, laid the groundwork for regulating online transactions and promoting e-commerce. It recognizes the validity of electronic signatures and contracts, thus enabling businesses and individuals to transact securely in a digital environment. This law played a pivotal role in fostering trust in online platforms and stimulating economic growth in the country.</w:t>
      </w:r>
    </w:p>
    <w:p w14:paraId="4EF4D123" w14:textId="667F2496" w:rsidR="0023365D" w:rsidRPr="00ED3C5C" w:rsidRDefault="0023365D" w:rsidP="0023365D">
      <w:pPr>
        <w:spacing w:line="360" w:lineRule="auto"/>
        <w:jc w:val="both"/>
        <w:rPr>
          <w:rFonts w:ascii="Arial" w:hAnsi="Arial" w:cs="Arial"/>
          <w:sz w:val="24"/>
          <w:szCs w:val="32"/>
        </w:rPr>
      </w:pPr>
      <w:r w:rsidRPr="0023365D">
        <w:rPr>
          <w:rFonts w:ascii="Arial" w:hAnsi="Arial" w:cs="Arial"/>
          <w:sz w:val="24"/>
          <w:szCs w:val="32"/>
        </w:rPr>
        <w:t>Together, these laws have broad societal implications. By addressing both the threats and opportunities of digital technologies, these laws underscore the need for continuous legal innovation to protect citizens and promote progress in the digital age.</w:t>
      </w:r>
    </w:p>
    <w:p w14:paraId="3C05958B" w14:textId="4AB1C29A" w:rsidR="00ED3C5C" w:rsidRPr="00ED3C5C" w:rsidRDefault="00ED3C5C" w:rsidP="00ED3C5C">
      <w:pPr>
        <w:spacing w:line="480" w:lineRule="auto"/>
        <w:ind w:firstLine="720"/>
        <w:jc w:val="both"/>
        <w:rPr>
          <w:rFonts w:ascii="Arial" w:hAnsi="Arial" w:cs="Arial"/>
          <w:sz w:val="24"/>
          <w:szCs w:val="32"/>
        </w:rPr>
      </w:pPr>
    </w:p>
    <w:sectPr w:rsidR="00ED3C5C" w:rsidRPr="00ED3C5C" w:rsidSect="00C5603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36"/>
    <w:rsid w:val="0023365D"/>
    <w:rsid w:val="004E6454"/>
    <w:rsid w:val="005E0ECD"/>
    <w:rsid w:val="00C56036"/>
    <w:rsid w:val="00ED3C5C"/>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2E5D"/>
  <w15:chartTrackingRefBased/>
  <w15:docId w15:val="{7C82BAB0-C063-4371-B091-11979FD2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bandong</dc:creator>
  <cp:keywords/>
  <dc:description/>
  <cp:lastModifiedBy>angelo bandong</cp:lastModifiedBy>
  <cp:revision>3</cp:revision>
  <dcterms:created xsi:type="dcterms:W3CDTF">2024-11-27T01:55:00Z</dcterms:created>
  <dcterms:modified xsi:type="dcterms:W3CDTF">2024-11-27T02:09:00Z</dcterms:modified>
</cp:coreProperties>
</file>