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4676"/>
      </w:tblGrid>
      <w:tr w:rsidR="00512EC0" w:rsidTr="00512EC0">
        <w:tc>
          <w:tcPr>
            <w:tcW w:w="9350" w:type="dxa"/>
            <w:gridSpan w:val="2"/>
          </w:tcPr>
          <w:p w:rsidR="00512EC0" w:rsidRPr="00512EC0" w:rsidRDefault="00512EC0" w:rsidP="00512EC0">
            <w:r w:rsidRPr="00512EC0">
              <w:rPr>
                <w:rFonts w:ascii="Arial" w:hAnsi="Arial" w:cs="Arial"/>
                <w:color w:val="555555"/>
              </w:rPr>
              <w:t xml:space="preserve">What is </w:t>
            </w:r>
            <w:proofErr w:type="spellStart"/>
            <w:r w:rsidRPr="00512EC0">
              <w:rPr>
                <w:rFonts w:ascii="Arial" w:hAnsi="Arial" w:cs="Arial"/>
                <w:color w:val="555555"/>
              </w:rPr>
              <w:t>CloudStack</w:t>
            </w:r>
            <w:proofErr w:type="spellEnd"/>
            <w:r w:rsidRPr="00512EC0">
              <w:rPr>
                <w:rFonts w:ascii="Arial" w:hAnsi="Arial" w:cs="Arial"/>
                <w:color w:val="555555"/>
              </w:rPr>
              <w:t>?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r w:rsidRPr="00512EC0">
              <w:t>HP's recently released hybrid cloud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is an open source cloud software platform that is designed for deploying networks of scalable virtual machines.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r w:rsidRPr="00512EC0">
              <w:rPr>
                <w:highlight w:val="green"/>
              </w:rPr>
              <w:t>Open source cloud computing software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the correct answer.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is an open source cloud software platform that is designed for deploying networks of scalable virtual machines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r w:rsidRPr="00512EC0">
              <w:t>Java-based open source container framework inspired by Docker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is an open source cloud software platform that is designed for deploying networks of scalable virtual machines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r w:rsidRPr="00512EC0">
              <w:t>A disaster recovery tool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is an open source cloud software platform that is designed for deploying networks of scalable virtual machines</w:t>
            </w:r>
          </w:p>
        </w:tc>
      </w:tr>
      <w:tr w:rsidR="00512EC0" w:rsidTr="004B7E6C">
        <w:tc>
          <w:tcPr>
            <w:tcW w:w="9350" w:type="dxa"/>
            <w:gridSpan w:val="2"/>
          </w:tcPr>
          <w:p w:rsidR="00512EC0" w:rsidRDefault="00512EC0" w:rsidP="00512EC0"/>
        </w:tc>
      </w:tr>
      <w:tr w:rsidR="00512EC0" w:rsidTr="00C0663D">
        <w:tc>
          <w:tcPr>
            <w:tcW w:w="9350" w:type="dxa"/>
            <w:gridSpan w:val="2"/>
          </w:tcPr>
          <w:p w:rsidR="00512EC0" w:rsidRDefault="00512EC0" w:rsidP="00512EC0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Which of the following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infrastructure element is known as the largest organizational unit within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deployment?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highlight w:val="green"/>
              </w:rPr>
            </w:pPr>
            <w:r w:rsidRPr="00512EC0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Region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correct. A region is the largest organizational unit within a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deployment.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Zone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A region is the largest organizational unit within a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deployment.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Pod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A region is the largest organizational unit within a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deployment.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Cluster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 xml:space="preserve">This is incorrect. A region is the largest organizational unit within a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deployment.</w:t>
            </w:r>
          </w:p>
        </w:tc>
      </w:tr>
      <w:tr w:rsidR="00512EC0" w:rsidTr="001B4638">
        <w:tc>
          <w:tcPr>
            <w:tcW w:w="9350" w:type="dxa"/>
            <w:gridSpan w:val="2"/>
          </w:tcPr>
          <w:p w:rsidR="00512EC0" w:rsidRDefault="00512EC0" w:rsidP="00512EC0"/>
        </w:tc>
      </w:tr>
      <w:tr w:rsidR="00512EC0" w:rsidTr="00037237">
        <w:tc>
          <w:tcPr>
            <w:tcW w:w="9350" w:type="dxa"/>
            <w:gridSpan w:val="2"/>
          </w:tcPr>
          <w:p w:rsidR="00512EC0" w:rsidRDefault="00512EC0" w:rsidP="00512EC0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What does Apache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enable you to do?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Build a public, private, or hybrid cloud environment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Implement cloud services 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Use a scalable environment and pool of resources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512EC0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All of the above</w:t>
            </w:r>
          </w:p>
        </w:tc>
        <w:tc>
          <w:tcPr>
            <w:tcW w:w="4676" w:type="dxa"/>
          </w:tcPr>
          <w:p w:rsidR="00512EC0" w:rsidRDefault="00512EC0" w:rsidP="00512EC0">
            <w:r w:rsidRPr="00512EC0">
              <w:t>That is correct.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D1920">
        <w:tc>
          <w:tcPr>
            <w:tcW w:w="9350" w:type="dxa"/>
            <w:gridSpan w:val="2"/>
          </w:tcPr>
          <w:p w:rsidR="00512EC0" w:rsidRPr="00512EC0" w:rsidRDefault="00512EC0" w:rsidP="00512EC0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What does Apache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enable you to do?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Build a public, private, or hybrid cloud environment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Implement cloud services 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Use a scalable environment and pool of resources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All the options are correct.</w:t>
            </w:r>
          </w:p>
        </w:tc>
      </w:tr>
      <w:tr w:rsidR="00512EC0" w:rsidTr="00512EC0">
        <w:tc>
          <w:tcPr>
            <w:tcW w:w="4674" w:type="dxa"/>
          </w:tcPr>
          <w:p w:rsid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512EC0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All of the above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That is correct.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EE0AFF">
        <w:tc>
          <w:tcPr>
            <w:tcW w:w="9350" w:type="dxa"/>
            <w:gridSpan w:val="2"/>
          </w:tcPr>
          <w:p w:rsidR="00512EC0" w:rsidRPr="00512EC0" w:rsidRDefault="00512EC0" w:rsidP="00512EC0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What are the features of a secondary storage in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environment?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 w:rsidRPr="00512EC0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lastRenderedPageBreak/>
              <w:t>Stores disk templates, ISO images, and snapshots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correct. Secondary Storage stores disk templates, ISO images, and snapshots.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Provided to a single cluster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Secondary Storage is a zone-wide resource.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 Available in a Pod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Secondary Storage is a zone-wide resource.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All of the above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>This is incorrect. Secondary Storage stores disk templates, ISO images, and snapshots.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9A6D21">
        <w:tc>
          <w:tcPr>
            <w:tcW w:w="9350" w:type="dxa"/>
            <w:gridSpan w:val="2"/>
          </w:tcPr>
          <w:p w:rsidR="00512EC0" w:rsidRPr="00512EC0" w:rsidRDefault="00512EC0" w:rsidP="00512EC0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Apache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does not support KVM and VMware hypervisors for visualization.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 xml:space="preserve">This is incorrect. Apache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supports the most popular hypervisors for visualization such as KVM, VMware.</w:t>
            </w:r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 w:rsidRPr="00512EC0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False</w:t>
            </w:r>
          </w:p>
        </w:tc>
        <w:tc>
          <w:tcPr>
            <w:tcW w:w="4676" w:type="dxa"/>
          </w:tcPr>
          <w:p w:rsidR="00512EC0" w:rsidRPr="00512EC0" w:rsidRDefault="00512EC0" w:rsidP="00512EC0">
            <w:r w:rsidRPr="00512EC0">
              <w:t xml:space="preserve">This is the correct answer. Apache </w:t>
            </w:r>
            <w:proofErr w:type="spellStart"/>
            <w:r w:rsidRPr="00512EC0">
              <w:t>CloudStack</w:t>
            </w:r>
            <w:proofErr w:type="spellEnd"/>
            <w:r w:rsidRPr="00512EC0">
              <w:t xml:space="preserve"> supports the most popular hypervisors for visualization such as KVM, VMware.</w:t>
            </w:r>
            <w:bookmarkStart w:id="0" w:name="_GoBack"/>
            <w:bookmarkEnd w:id="0"/>
          </w:p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  <w:tr w:rsidR="00512EC0" w:rsidTr="00512EC0">
        <w:tc>
          <w:tcPr>
            <w:tcW w:w="4674" w:type="dxa"/>
          </w:tcPr>
          <w:p w:rsidR="00512EC0" w:rsidRPr="00512EC0" w:rsidRDefault="00512EC0" w:rsidP="00512EC0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</w:p>
        </w:tc>
        <w:tc>
          <w:tcPr>
            <w:tcW w:w="4676" w:type="dxa"/>
          </w:tcPr>
          <w:p w:rsidR="00512EC0" w:rsidRPr="00512EC0" w:rsidRDefault="00512EC0" w:rsidP="00512EC0"/>
        </w:tc>
      </w:tr>
    </w:tbl>
    <w:p w:rsidR="00512EC0" w:rsidRPr="00512EC0" w:rsidRDefault="00512EC0" w:rsidP="00512EC0"/>
    <w:sectPr w:rsidR="00512EC0" w:rsidRPr="0051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27F"/>
    <w:multiLevelType w:val="hybridMultilevel"/>
    <w:tmpl w:val="D92E6206"/>
    <w:lvl w:ilvl="0" w:tplc="8C44B63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43105"/>
    <w:multiLevelType w:val="hybridMultilevel"/>
    <w:tmpl w:val="677C8B1C"/>
    <w:lvl w:ilvl="0" w:tplc="0F36D50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E7BFC"/>
    <w:multiLevelType w:val="hybridMultilevel"/>
    <w:tmpl w:val="7FF093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C0"/>
    <w:rsid w:val="00512EC0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D75"/>
  <w15:chartTrackingRefBased/>
  <w15:docId w15:val="{387B31D7-D909-49ED-A813-454952F9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C0"/>
    <w:pPr>
      <w:ind w:left="720"/>
      <w:contextualSpacing/>
    </w:pPr>
  </w:style>
  <w:style w:type="table" w:styleId="TableGrid">
    <w:name w:val="Table Grid"/>
    <w:basedOn w:val="TableNormal"/>
    <w:uiPriority w:val="39"/>
    <w:rsid w:val="005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Aggarwal</dc:creator>
  <cp:keywords/>
  <dc:description/>
  <cp:lastModifiedBy>Manuj Aggarwal</cp:lastModifiedBy>
  <cp:revision>1</cp:revision>
  <dcterms:created xsi:type="dcterms:W3CDTF">2017-04-16T15:50:00Z</dcterms:created>
  <dcterms:modified xsi:type="dcterms:W3CDTF">2017-04-16T16:07:00Z</dcterms:modified>
</cp:coreProperties>
</file>