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inline distT="0" distB="0" distL="0" distR="0">
            <wp:extent cx="85725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595959"/>
          <w:sz w:val="15"/>
          <w:szCs w:val="15"/>
        </w:rPr>
        <w:t xml:space="preserve">SAAS  •  AI  •  HR TECH</w:t>
      </w:r>
    </w:p>
    <w:p>
      <w:pPr>
        <w:pBdr>
          <w:bottom w:val="single" w:color="E8604C" w:sz="6" w:space="6"/>
        </w:pBdr>
        <w:spacing w:after="240"/>
      </w:pPr>
      <w:r>
        <w:rPr>
          <w:b/>
          <w:bCs/>
          <w:color w:val="0B2545"/>
          <w:sz w:val="34"/>
          <w:szCs w:val="34"/>
        </w:rPr>
        <w:t xml:space="preserve">Workforce Revenue Leak Workflow Sprint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Test Client  |  Generated 2026-08-13</w:t>
      </w:r>
    </w:p>
    <w:p>
      <w:pPr>
        <w:pStyle w:val="Heading1"/>
        <w:spacing w:after="120" w:before="260"/>
      </w:pPr>
      <w:r>
        <w:rPr>
          <w:b/>
          <w:bCs/>
          <w:color w:val="0B2545"/>
          <w:sz w:val="26"/>
          <w:szCs w:val="26"/>
        </w:rPr>
        <w:t xml:space="preserve">Executive Summary</w:t>
      </w:r>
    </w:p>
    <w:p>
      <w:pPr>
        <w:spacing w:after="160"/>
      </w:pPr>
      <w:r>
        <w:rPr>
          <w:b/>
          <w:bCs/>
          <w:color w:val="0B2545"/>
          <w:sz w:val="24"/>
          <w:szCs w:val="24"/>
        </w:rPr>
        <w:t xml:space="preserve">Total identified revenue exposure: </w:t>
      </w:r>
      <w:r>
        <w:rPr>
          <w:b/>
          <w:bCs/>
          <w:color w:val="E8604C"/>
          <w:sz w:val="24"/>
          <w:szCs w:val="24"/>
        </w:rPr>
        <w:t xml:space="preserve">$48,360.00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Workflow Sprint reviewed billing, timesheet, rate card, and contract data to identify where revenue is leaking out of contingent workforce spend — through missed markups, stale rate cards, off-contract spend, worker classification risk, and unbilled or duplicate hours.</w:t>
      </w:r>
    </w:p>
    <w:p>
      <w:pPr>
        <w:pStyle w:val="Heading1"/>
        <w:spacing w:after="120" w:before="260"/>
      </w:pPr>
      <w:r>
        <w:rPr>
          <w:b/>
          <w:bCs/>
          <w:color w:val="0B2545"/>
          <w:sz w:val="26"/>
          <w:szCs w:val="26"/>
        </w:rPr>
        <w:t xml:space="preserve">Findings by Category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2900"/>
      </w:tblGrid>
      <w:tr>
        <w:trPr>
          <w:tblHeader/>
        </w:trPr>
        <w:tc>
          <w:tcPr>
            <w:tcW w:type="dxa" w:w="36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Leak Category</w:t>
            </w:r>
          </w:p>
        </w:tc>
        <w:tc>
          <w:tcPr>
            <w:tcW w:type="dxa" w:w="16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2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$ Impact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Worker classification risk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$43,680.00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Off-contract / maverick spend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$3,344.00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Missed / incorrect markup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$640.00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Unbilled / duplicate hours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$360.00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Stale rate card billing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$336.00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b/>
          <w:bCs/>
          <w:color w:val="0B2545"/>
          <w:sz w:val="26"/>
          <w:szCs w:val="26"/>
        </w:rPr>
        <w:t xml:space="preserve">Prioritized Findings</w:t>
      </w:r>
    </w:p>
    <w:p>
      <w:pPr>
        <w:spacing w:after="60" w:before="200"/>
      </w:pPr>
      <w:r>
        <w:rPr>
          <w:sz w:val="22"/>
          <w:szCs w:val="22"/>
        </w:rPr>
        <w:t xml:space="preserve">🔴  </w:t>
      </w:r>
      <w:r>
        <w:rPr>
          <w:b/>
          <w:bCs/>
          <w:color w:val="0B2545"/>
          <w:sz w:val="22"/>
          <w:szCs w:val="22"/>
        </w:rPr>
        <w:t xml:space="preserve">Worker classification risk — </w:t>
      </w:r>
      <w:r>
        <w:rPr>
          <w:b/>
          <w:bCs/>
          <w:color w:val="E8604C"/>
          <w:sz w:val="22"/>
          <w:szCs w:val="22"/>
        </w:rPr>
        <w:t xml:space="preserve">$43,680.00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Contract C-200 with Atrium Consulting is classified as SOW but bills hourly with no defined deliverables — functions as staff augmentation. Reclassification exposure estimated on $291,200 annualized spend.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sz w:val="21"/>
          <w:szCs w:val="21"/>
        </w:rPr>
        <w:t xml:space="preserve">Rewrite the SOW with milestone-based deliverables, or reclassify to staff aug with proper markup/compliance treatment.</w:t>
      </w:r>
    </w:p>
    <w:p>
      <w:pPr>
        <w:spacing w:after="60" w:before="200"/>
      </w:pPr>
      <w:r>
        <w:rPr>
          <w:sz w:val="22"/>
          <w:szCs w:val="22"/>
        </w:rPr>
        <w:t xml:space="preserve">🟡  </w:t>
      </w:r>
      <w:r>
        <w:rPr>
          <w:b/>
          <w:bCs/>
          <w:color w:val="0B2545"/>
          <w:sz w:val="22"/>
          <w:szCs w:val="22"/>
        </w:rPr>
        <w:t xml:space="preserve">Off-contract / maverick spend — </w:t>
      </w:r>
      <w:r>
        <w:rPr>
          <w:b/>
          <w:bCs/>
          <w:color w:val="E8604C"/>
          <w:sz w:val="22"/>
          <w:szCs w:val="22"/>
        </w:rPr>
        <w:t xml:space="preserve">$3,344.00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$3,344.00 billed to BrightStaff LLC with no approved-supplier match (Sales).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Recommended action: </w:t>
      </w:r>
      <w:r>
        <w:rPr>
          <w:sz w:val="21"/>
          <w:szCs w:val="21"/>
        </w:rPr>
        <w:t xml:space="preserve">Route through the approved MSP/VMS channel or formalize a contract; verify the buying manager's authority.</w:t>
      </w:r>
    </w:p>
    <w:p>
      <w:pPr>
        <w:pStyle w:val="Heading1"/>
        <w:spacing w:after="120" w:before="260"/>
      </w:pPr>
      <w:r>
        <w:rPr>
          <w:b/>
          <w:bCs/>
          <w:color w:val="0B2545"/>
          <w:sz w:val="26"/>
          <w:szCs w:val="26"/>
        </w:rPr>
        <w:t xml:space="preserve">Next Steps</w:t>
      </w:r>
    </w:p>
    <w:p>
      <w:pPr>
        <w:spacing w:after="80"/>
      </w:pPr>
      <w:r>
        <w:rPr>
          <w:b/>
          <w:bCs/>
          <w:color w:val="0B2545"/>
          <w:sz w:val="21"/>
          <w:szCs w:val="21"/>
        </w:rPr>
        <w:t xml:space="preserve">•  </w:t>
      </w:r>
      <w:r>
        <w:rPr>
          <w:sz w:val="21"/>
          <w:szCs w:val="21"/>
        </w:rPr>
        <w:t xml:space="preserve">Validate the highest-dollar findings against your own records.</w:t>
      </w:r>
    </w:p>
    <w:p>
      <w:pPr>
        <w:spacing w:after="80"/>
      </w:pPr>
      <w:r>
        <w:rPr>
          <w:b/>
          <w:bCs/>
          <w:color w:val="0B2545"/>
          <w:sz w:val="21"/>
          <w:szCs w:val="21"/>
        </w:rPr>
        <w:t xml:space="preserve">•  </w:t>
      </w:r>
      <w:r>
        <w:rPr>
          <w:sz w:val="21"/>
          <w:szCs w:val="21"/>
        </w:rPr>
        <w:t xml:space="preserve">Implement the recommended fixes above, starting with anything flagged CRITICAL.</w:t>
      </w:r>
    </w:p>
    <w:p>
      <w:pPr>
        <w:spacing w:after="80"/>
      </w:pPr>
      <w:r>
        <w:rPr>
          <w:b/>
          <w:bCs/>
          <w:color w:val="0B2545"/>
          <w:sz w:val="21"/>
          <w:szCs w:val="21"/>
        </w:rPr>
        <w:t xml:space="preserve">•  </w:t>
      </w:r>
      <w:r>
        <w:rPr>
          <w:sz w:val="21"/>
          <w:szCs w:val="21"/>
        </w:rPr>
        <w:t xml:space="preserve">Consider ongoing monitoring (a recurring monthly or quarterly Workflow Sprint) to catch new leakage before it compounds.</w:t>
      </w:r>
    </w:p>
    <w:p>
      <w:pPr>
        <w:pBdr>
          <w:top w:val="single" w:color="CCCCCC" w:sz="4" w:space="6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Paul Linn Solutions — Workforce Solutions &amp; Agentic AI Consulting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759e6da93669c8ac49d284e594448edc6e564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2026-08-13T17:34:10.095Z</dcterms:created>
  <dcterms:modified xsi:type="dcterms:W3CDTF">2026-08-13T17:34:10.095Z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