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S&amp;P 500 Stock Regression Project</w:t>
      </w:r>
    </w:p>
    <w:p>
      <w:r>
        <w:t>Course: Regression Methods</w:t>
      </w:r>
    </w:p>
    <w:p>
      <w:r>
        <w:t>Student: Paul Lopes</w:t>
      </w:r>
    </w:p>
    <w:p>
      <w:r>
        <w:t>Date: November 28, 2025</w:t>
      </w:r>
    </w:p>
    <w:p>
      <w:r>
        <w:t>Repository: https://github.com/paullopes2004/RegressionCourseProject</w:t>
      </w:r>
    </w:p>
    <w:p>
      <w:r>
        <w:t xml:space="preserve"> </w:t>
      </w:r>
    </w:p>
    <w:p>
      <w:pPr>
        <w:pStyle w:val="Heading1"/>
      </w:pPr>
      <w:r>
        <w:t>Abstract</w:t>
      </w:r>
    </w:p>
    <w:p>
      <w:r>
        <w:t>This project investigates whether readily available trading characteristics can explain cross-sectional variation in one-year returns among S&amp;P 500 companies. Using Cam Nugent's Kaggle dataset of daily prices (2013–2018), I engineer four predictors summarizing each firm's 2017 volatility, trading volume, early-year momentum, and short-term moving-average trend. A multiple linear regression model, fit in R and validated via residual diagnostics, explains 53% of the variation in forward-looking log returns from early 2017 to early 2018. The dominant signal is 90-day momentum, while volatility exerts a negative effect. These findings reinforce momentum-based theories in asset pricing and provide a reproducible workflow for screening large-cap equities using only public price data.</w:t>
      </w:r>
    </w:p>
    <w:p>
      <w:r>
        <w:t xml:space="preserve"> </w:t>
      </w:r>
    </w:p>
    <w:p>
      <w:pPr>
        <w:pStyle w:val="Heading1"/>
      </w:pPr>
      <w:r>
        <w:t>Introduction</w:t>
      </w:r>
    </w:p>
    <w:p>
      <w:r>
        <w:t>A recurring question in both academic finance and investing practice is why some stocks outperform their peers over a given horizon. Classic factor models rely on fundamental accounting inputs, but many investors rely on price-derived indicators because they are simple to compute and available in real time. The Regression Methods course project prompt calls for selecting an analytical technique within the scope of the class, analyzing simulated or real data, and presenting the analysis following the structure of a scientific paper. Motivated by this prompt, I focus on a cross-sectional regression that uses only technical features to anticipate one-year returns for S&amp;P 500 constituents. My research question is: To what extent do volatility, average trading volume, early-year momentum, and short-term moving-average trends explain the variation in one-year log returns across large-cap U.S. equities?</w:t>
      </w:r>
    </w:p>
    <w:p>
      <w:r>
        <w:t xml:space="preserve"> </w:t>
      </w:r>
    </w:p>
    <w:p>
      <w:pPr>
        <w:pStyle w:val="Heading1"/>
      </w:pPr>
      <w:r>
        <w:t>Materials and Methods</w:t>
      </w:r>
    </w:p>
    <w:p>
      <w:r>
        <w:t>Data Source. The analysis uses Cam Nugent's 'S&amp;P 500 Stock Data' dataset hosted on Kaggle, containing 619,040 daily observations from 2013 through 2018. Each row includes the ticker symbol, trading date, open, high, low, close prices, and daily share volume. The raw file (all_stocks_5yr.csv) is stored in data/raw/ and processed entirely within R using the tidyverse, lubridate, and broom packages.</w:t>
      </w:r>
    </w:p>
    <w:p>
      <w:r>
        <w:t>Pre-processing. I sanitize column names, convert the date column to R's Date type, and sort observations chronologically per ticker. Daily log returns are computed as log(close) - log(lag(close)). Tickers with fewer than 20 valid daily returns in 2017 are dropped to ensure stable statistics.</w:t>
      </w:r>
    </w:p>
    <w:p>
      <w:r>
        <w:t>Feature Engineering. For each ticker, I isolate 2017 trading days (and the first trading day of 2018) and compute: (1) volatility, the standard deviation of daily log returns multiplied by sqrt(252); (2) average volume, the mean daily volume divided by one million; (3) momentum 90, the log return over the first 90 trading days of 2017; (4) trend MA30, the percentage difference between the initial closing price and the 30-day moving average at the start of the year. The response variable is the forward-looking log return log(price_2018-01-02 / price_2017-01-03). The resulting tidy dataset contains 503 tickers with complete data.</w:t>
      </w:r>
    </w:p>
    <w:p>
      <w:r>
        <w:t>Model Specification. I fit an ordinary least squares (OLS) regression: y_log_return ~ volatility + avg_volume_mln + momentum_90 + trend_ma30. Model diagnostics include residual-versus-fitted plots and a normal quantile-quantile plot. All outputs (features, coefficients, fit metrics, residuals) are exported to the outputs/ directory for transparency.</w:t>
      </w:r>
    </w:p>
    <w:p>
      <w:r>
        <w:t xml:space="preserve"> </w:t>
      </w:r>
    </w:p>
    <w:p>
      <w:pPr>
        <w:pStyle w:val="Heading1"/>
      </w:pPr>
      <w:r>
        <w:t>Results</w:t>
      </w:r>
    </w:p>
    <w:p>
      <w:r>
        <w:t>Descriptive statistics for the engineered dataset appear in Table 1. Median annualized volatility is approximately 0.25, and the interquartile range of 90-day momentum spans roughly −0.04 to +0.12 in log-return terms, indicating substantial dispersion in early-year trends.</w:t>
      </w:r>
    </w:p>
    <w:p>
      <w:r>
        <w:t>The OLS regression delivers an R² of 0.529 (adjusted R² = 0.525), residual standard error of 0.158 log-return units, and F-statistic of 139.7 with p-value &lt; 10^-78. Coefficient estimates (Table 2) reveal that 90-day momentum has a slope of 1.05 (p &lt; 10^-38), meaning a 0.1 increase in early-year log returns associates with roughly a 0.105 increase in the full-year log return, holding other variables fixed. Volatility carries a −0.468 coefficient (p = 2×10^-7), implying riskier stocks underperformed in this sample. Average volume and the moving-average trend do not reach conventional significance thresholds once momentum is included. Residual-versus-fitted and Q–Q plots display approximately homoskedastic, near-normal residuals, supporting OLS assumptions.</w:t>
      </w:r>
    </w:p>
    <w:p>
      <w:r>
        <w:t xml:space="preserve"> </w:t>
      </w:r>
    </w:p>
    <w:p>
      <w:pPr>
        <w:pStyle w:val="Heading1"/>
      </w:pPr>
      <w:r>
        <w:t>Discussion</w:t>
      </w:r>
    </w:p>
    <w:p>
      <w:r>
        <w:t>The dominance of the momentum coefficient aligns with the well-documented momentum anomaly (Jegadeesh &amp; Titman, 1993), whereby stocks that have recently appreciated continue to perform well over intermediate horizons. The negative volatility effect resembles low-volatility premiums observed in risk-managed investing: investors favored calmer names during 2017, possibly due to macro uncertainty or preference for stability. The lack of explanatory power for average volume and the 30-day moving-average trend suggests these variables either overlap with momentum information or require nonlinear modeling to contribute meaningfully. Limitations include the focus on a single year (2017) and the absence of sector controls or macroeconomic covariates. Extending the dataset to multiple years would reveal whether the coefficients remain stable across regimes. Incorporating categorical sector indicators, valuation ratios, or regularization techniques such as LASSO could enhance interpretability and guard against overfitting. Nevertheless, the current model already achieves substantial explanatory power with minimal inputs, demonstrating how simple technical summaries can inform classroom-scale regression analyses.</w:t>
      </w:r>
    </w:p>
    <w:p>
      <w:r>
        <w:t xml:space="preserve"> </w:t>
      </w:r>
    </w:p>
    <w:p>
      <w:pPr>
        <w:pStyle w:val="Heading1"/>
      </w:pPr>
      <w:r>
        <w:t>Acknowledgments</w:t>
      </w:r>
    </w:p>
    <w:p>
      <w:r>
        <w:t>I thank Cam Nugent for publishing the S&amp;P 500 dataset on Kaggle and my Regression Methods instructor for project guidance. I also acknowledge OpenAI's ChatGPT (GPT-5.1 Codex) for assistance with scripting and documentation, cited per course policy.</w:t>
      </w:r>
    </w:p>
    <w:p>
      <w:r>
        <w:t xml:space="preserve"> </w:t>
      </w:r>
    </w:p>
    <w:p>
      <w:pPr>
        <w:pStyle w:val="Heading1"/>
      </w:pPr>
      <w:r>
        <w:t>Literature Cited</w:t>
      </w:r>
    </w:p>
    <w:p>
      <w:r>
        <w:t>Cam Nugent. 'S&amp;P 500 Stock Data.' Kaggle. https://www.kaggle.com/datasets/camnugent/sandp500 (accessed Nov 29, 2025). Jegadeesh, N., &amp; Titman, S. (1993). Returns to buying winners and selling losers: Implications for stock market efficiency. Journal of Finance, 48(1), 65–91.</w:t>
      </w:r>
    </w:p>
    <w:p>
      <w:r>
        <w:t xml:space="preserve"> </w:t>
      </w:r>
    </w:p>
    <w:p>
      <w:pPr>
        <w:pStyle w:val="Heading1"/>
      </w:pPr>
      <w:r>
        <w:t>Appendices</w:t>
      </w:r>
    </w:p>
    <w:p>
      <w:r>
        <w:t>Appendix A: scripts/sp500_regression.R (analysis pipeline). Appendix B: outputs/model_coefficients.csv, model_glance.csv, model_augmented_residuals.csv. Appendix C: figures/residuals_vs_fitted.png, figures/qq_plot.png. Appendix D: data/raw/all_stocks_5yr.csv (Kaggle download).</w:t>
      </w:r>
    </w:p>
    <w:p>
      <w:r>
        <w:t xml:space="preserve"> </w:t>
      </w:r>
    </w:p>
    <w:p>
      <w:pPr>
        <w:pStyle w:val="Heading2"/>
      </w:pPr>
      <w:r>
        <w:t>Table 1. Descriptive Statistics of Engineered Features</w:t>
      </w:r>
    </w:p>
    <w:tbl>
      <w:tblPr>
        <w:tblStyle w:val="LightList-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Ticker Count</w:t>
            </w:r>
          </w:p>
        </w:tc>
        <w:tc>
          <w:tcPr>
            <w:tcW w:type="dxa" w:w="4320"/>
          </w:tcPr>
          <w:p>
            <w:r>
              <w:t>503</w:t>
            </w:r>
          </w:p>
        </w:tc>
      </w:tr>
      <w:tr>
        <w:tc>
          <w:tcPr>
            <w:tcW w:type="dxa" w:w="4320"/>
          </w:tcPr>
          <w:p>
            <w:r>
              <w:t>Mean 1-Year Log Return</w:t>
            </w:r>
          </w:p>
        </w:tc>
        <w:tc>
          <w:tcPr>
            <w:tcW w:type="dxa" w:w="4320"/>
          </w:tcPr>
          <w:p>
            <w:r>
              <w:t>0.137</w:t>
            </w:r>
          </w:p>
        </w:tc>
      </w:tr>
      <w:tr>
        <w:tc>
          <w:tcPr>
            <w:tcW w:type="dxa" w:w="4320"/>
          </w:tcPr>
          <w:p>
            <w:r>
              <w:t>Median 1-Year Log Return</w:t>
            </w:r>
          </w:p>
        </w:tc>
        <w:tc>
          <w:tcPr>
            <w:tcW w:type="dxa" w:w="4320"/>
          </w:tcPr>
          <w:p>
            <w:r>
              <w:t>0.146</w:t>
            </w:r>
          </w:p>
        </w:tc>
      </w:tr>
      <w:tr>
        <w:tc>
          <w:tcPr>
            <w:tcW w:type="dxa" w:w="4320"/>
          </w:tcPr>
          <w:p>
            <w:r>
              <w:t>Median Volatility (annualized)</w:t>
            </w:r>
          </w:p>
        </w:tc>
        <w:tc>
          <w:tcPr>
            <w:tcW w:type="dxa" w:w="4320"/>
          </w:tcPr>
          <w:p>
            <w:r>
              <w:t>0.195</w:t>
            </w:r>
          </w:p>
        </w:tc>
      </w:tr>
      <w:tr>
        <w:tc>
          <w:tcPr>
            <w:tcW w:type="dxa" w:w="4320"/>
          </w:tcPr>
          <w:p>
            <w:r>
              <w:t>Median Avg Volume (millions)</w:t>
            </w:r>
          </w:p>
        </w:tc>
        <w:tc>
          <w:tcPr>
            <w:tcW w:type="dxa" w:w="4320"/>
          </w:tcPr>
          <w:p>
            <w:r>
              <w:t>2.20</w:t>
            </w:r>
          </w:p>
        </w:tc>
      </w:tr>
      <w:tr>
        <w:tc>
          <w:tcPr>
            <w:tcW w:type="dxa" w:w="4320"/>
          </w:tcPr>
          <w:p>
            <w:r>
              <w:t>Momentum 90 IQR</w:t>
            </w:r>
          </w:p>
        </w:tc>
        <w:tc>
          <w:tcPr>
            <w:tcW w:type="dxa" w:w="4320"/>
          </w:tcPr>
          <w:p>
            <w:r>
              <w:t>0.163</w:t>
            </w:r>
          </w:p>
        </w:tc>
      </w:tr>
    </w:tbl>
    <w:p>
      <w:r>
        <w:t xml:space="preserve"> </w:t>
      </w:r>
    </w:p>
    <w:p>
      <w:pPr>
        <w:pStyle w:val="Heading2"/>
      </w:pPr>
      <w:r>
        <w:t>Table 2. Regression Coefficient Estimates</w:t>
      </w:r>
    </w:p>
    <w:tbl>
      <w:tblPr>
        <w:tblStyle w:val="LightList-Accent2"/>
        <w:tblW w:type="auto" w:w="0"/>
        <w:tblLook w:firstColumn="1" w:firstRow="1" w:lastColumn="0" w:lastRow="0" w:noHBand="0" w:noVBand="1" w:val="04A0"/>
      </w:tblPr>
      <w:tblGrid>
        <w:gridCol w:w="1728"/>
        <w:gridCol w:w="1728"/>
        <w:gridCol w:w="1728"/>
        <w:gridCol w:w="1728"/>
        <w:gridCol w:w="1728"/>
      </w:tblGrid>
      <w:tr>
        <w:tc>
          <w:tcPr>
            <w:tcW w:type="dxa" w:w="1728"/>
          </w:tcPr>
          <w:p>
            <w:r>
              <w:t>Term</w:t>
            </w:r>
          </w:p>
        </w:tc>
        <w:tc>
          <w:tcPr>
            <w:tcW w:type="dxa" w:w="1728"/>
          </w:tcPr>
          <w:p>
            <w:r>
              <w:t>Estimate</w:t>
            </w:r>
          </w:p>
        </w:tc>
        <w:tc>
          <w:tcPr>
            <w:tcW w:type="dxa" w:w="1728"/>
          </w:tcPr>
          <w:p>
            <w:r>
              <w:t>Std. Error</w:t>
            </w:r>
          </w:p>
        </w:tc>
        <w:tc>
          <w:tcPr>
            <w:tcW w:type="dxa" w:w="1728"/>
          </w:tcPr>
          <w:p>
            <w:r>
              <w:t>t value</w:t>
            </w:r>
          </w:p>
        </w:tc>
        <w:tc>
          <w:tcPr>
            <w:tcW w:type="dxa" w:w="1728"/>
          </w:tcPr>
          <w:p>
            <w:r>
              <w:t>p value</w:t>
            </w:r>
          </w:p>
        </w:tc>
      </w:tr>
      <w:tr>
        <w:tc>
          <w:tcPr>
            <w:tcW w:type="dxa" w:w="1728"/>
          </w:tcPr>
          <w:p>
            <w:r>
              <w:t>(Intercept)</w:t>
            </w:r>
          </w:p>
        </w:tc>
        <w:tc>
          <w:tcPr>
            <w:tcW w:type="dxa" w:w="1728"/>
          </w:tcPr>
          <w:p>
            <w:r>
              <w:t>0.1863</w:t>
            </w:r>
          </w:p>
        </w:tc>
        <w:tc>
          <w:tcPr>
            <w:tcW w:type="dxa" w:w="1728"/>
          </w:tcPr>
          <w:p>
            <w:r>
              <w:t>0.0207</w:t>
            </w:r>
          </w:p>
        </w:tc>
        <w:tc>
          <w:tcPr>
            <w:tcW w:type="dxa" w:w="1728"/>
          </w:tcPr>
          <w:p>
            <w:r>
              <w:t>8.98</w:t>
            </w:r>
          </w:p>
        </w:tc>
        <w:tc>
          <w:tcPr>
            <w:tcW w:type="dxa" w:w="1728"/>
          </w:tcPr>
          <w:p>
            <w:r>
              <w:t>5.6e-18</w:t>
            </w:r>
          </w:p>
        </w:tc>
      </w:tr>
      <w:tr>
        <w:tc>
          <w:tcPr>
            <w:tcW w:type="dxa" w:w="1728"/>
          </w:tcPr>
          <w:p>
            <w:r>
              <w:t>volatility</w:t>
            </w:r>
          </w:p>
        </w:tc>
        <w:tc>
          <w:tcPr>
            <w:tcW w:type="dxa" w:w="1728"/>
          </w:tcPr>
          <w:p>
            <w:r>
              <w:t>-0.4679</w:t>
            </w:r>
          </w:p>
        </w:tc>
        <w:tc>
          <w:tcPr>
            <w:tcW w:type="dxa" w:w="1728"/>
          </w:tcPr>
          <w:p>
            <w:r>
              <w:t>0.0887</w:t>
            </w:r>
          </w:p>
        </w:tc>
        <w:tc>
          <w:tcPr>
            <w:tcW w:type="dxa" w:w="1728"/>
          </w:tcPr>
          <w:p>
            <w:r>
              <w:t>-5.28</w:t>
            </w:r>
          </w:p>
        </w:tc>
        <w:tc>
          <w:tcPr>
            <w:tcW w:type="dxa" w:w="1728"/>
          </w:tcPr>
          <w:p>
            <w:r>
              <w:t>2.0e-07</w:t>
            </w:r>
          </w:p>
        </w:tc>
      </w:tr>
      <w:tr>
        <w:tc>
          <w:tcPr>
            <w:tcW w:type="dxa" w:w="1728"/>
          </w:tcPr>
          <w:p>
            <w:r>
              <w:t>avg_volume_mln</w:t>
            </w:r>
          </w:p>
        </w:tc>
        <w:tc>
          <w:tcPr>
            <w:tcW w:type="dxa" w:w="1728"/>
          </w:tcPr>
          <w:p>
            <w:r>
              <w:t>0.0007</w:t>
            </w:r>
          </w:p>
        </w:tc>
        <w:tc>
          <w:tcPr>
            <w:tcW w:type="dxa" w:w="1728"/>
          </w:tcPr>
          <w:p>
            <w:r>
              <w:t>0.0011</w:t>
            </w:r>
          </w:p>
        </w:tc>
        <w:tc>
          <w:tcPr>
            <w:tcW w:type="dxa" w:w="1728"/>
          </w:tcPr>
          <w:p>
            <w:r>
              <w:t>0.63</w:t>
            </w:r>
          </w:p>
        </w:tc>
        <w:tc>
          <w:tcPr>
            <w:tcW w:type="dxa" w:w="1728"/>
          </w:tcPr>
          <w:p>
            <w:r>
              <w:t>5.3e-01</w:t>
            </w:r>
          </w:p>
        </w:tc>
      </w:tr>
      <w:tr>
        <w:tc>
          <w:tcPr>
            <w:tcW w:type="dxa" w:w="1728"/>
          </w:tcPr>
          <w:p>
            <w:r>
              <w:t>momentum_90</w:t>
            </w:r>
          </w:p>
        </w:tc>
        <w:tc>
          <w:tcPr>
            <w:tcW w:type="dxa" w:w="1728"/>
          </w:tcPr>
          <w:p>
            <w:r>
              <w:t>1.0466</w:t>
            </w:r>
          </w:p>
        </w:tc>
        <w:tc>
          <w:tcPr>
            <w:tcW w:type="dxa" w:w="1728"/>
          </w:tcPr>
          <w:p>
            <w:r>
              <w:t>0.0730</w:t>
            </w:r>
          </w:p>
        </w:tc>
        <w:tc>
          <w:tcPr>
            <w:tcW w:type="dxa" w:w="1728"/>
          </w:tcPr>
          <w:p>
            <w:r>
              <w:t>14.33</w:t>
            </w:r>
          </w:p>
        </w:tc>
        <w:tc>
          <w:tcPr>
            <w:tcW w:type="dxa" w:w="1728"/>
          </w:tcPr>
          <w:p>
            <w:r>
              <w:t>3.0e-39</w:t>
            </w:r>
          </w:p>
        </w:tc>
      </w:tr>
      <w:tr>
        <w:tc>
          <w:tcPr>
            <w:tcW w:type="dxa" w:w="1728"/>
          </w:tcPr>
          <w:p>
            <w:r>
              <w:t>trend_ma30</w:t>
            </w:r>
          </w:p>
        </w:tc>
        <w:tc>
          <w:tcPr>
            <w:tcW w:type="dxa" w:w="1728"/>
          </w:tcPr>
          <w:p>
            <w:r>
              <w:t>0.2333</w:t>
            </w:r>
          </w:p>
        </w:tc>
        <w:tc>
          <w:tcPr>
            <w:tcW w:type="dxa" w:w="1728"/>
          </w:tcPr>
          <w:p>
            <w:r>
              <w:t>0.1947</w:t>
            </w:r>
          </w:p>
        </w:tc>
        <w:tc>
          <w:tcPr>
            <w:tcW w:type="dxa" w:w="1728"/>
          </w:tcPr>
          <w:p>
            <w:r>
              <w:t>1.20</w:t>
            </w:r>
          </w:p>
        </w:tc>
        <w:tc>
          <w:tcPr>
            <w:tcW w:type="dxa" w:w="1728"/>
          </w:tcPr>
          <w:p>
            <w:r>
              <w:t>2.3e-01</w:t>
            </w:r>
          </w:p>
        </w:tc>
      </w:tr>
    </w:tbl>
    <w:p>
      <w:r>
        <w:t xml:space="preserve"> </w:t>
      </w:r>
    </w:p>
    <w:p>
      <w:r>
        <w:t>Figure 1. Residuals vs Fitted (see figures/residuals_vs_fitted.png).</w:t>
      </w:r>
    </w:p>
    <w:p>
      <w:r>
        <w:t>Figure 2. Normal Q-Q Plot (see figures/qq_plot.png).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