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rFonts w:ascii="Calibri" w:hAnsi="Calibri"/>
          <w:b/>
          <w:color w:val="828282"/>
          <w:sz w:val="16"/>
        </w:rPr>
        <w:t>INTERNAL ANALYSIS  —  CONFIDENTIAL</w:t>
      </w:r>
    </w:p>
    <w:p>
      <w:pPr>
        <w:pBdr>
          <w:bottom w:val="single" w:sz="6" w:space="1" w:color="1E4078"/>
        </w:pBdr>
        <w:spacing w:before="0" w:after="0"/>
      </w:pPr>
    </w:p>
    <w:p>
      <w:pPr>
        <w:spacing w:before="160" w:after="40"/>
      </w:pPr>
      <w:r>
        <w:rPr>
          <w:rFonts w:ascii="Calibri" w:hAnsi="Calibri"/>
          <w:b/>
          <w:color w:val="1E4078"/>
          <w:sz w:val="48"/>
        </w:rPr>
        <w:t>JLL Project &amp; Development Services</w:t>
      </w:r>
    </w:p>
    <w:p>
      <w:pPr>
        <w:spacing w:before="0" w:after="80"/>
      </w:pPr>
      <w:r>
        <w:rPr>
          <w:rFonts w:ascii="Calibri" w:hAnsi="Calibri"/>
          <w:i/>
          <w:color w:val="3C5A8C"/>
          <w:sz w:val="28"/>
        </w:rPr>
        <w:t>Why We Would Engage JLL Over Winston PDS for Capital Projects</w:t>
      </w:r>
    </w:p>
    <w:p>
      <w:pPr>
        <w:pBdr>
          <w:bottom w:val="single" w:sz="6" w:space="1" w:color="1E4078"/>
        </w:pBdr>
        <w:spacing w:before="0" w:after="0"/>
      </w:pPr>
    </w:p>
    <w:p>
      <w:pPr>
        <w:spacing w:before="80" w:after="320"/>
      </w:pPr>
      <w:r>
        <w:rPr>
          <w:rFonts w:ascii="Calibri" w:hAnsi="Calibri"/>
          <w:color w:val="646464"/>
          <w:sz w:val="18"/>
        </w:rPr>
        <w:t>Prepared by: Senior Leadership</w:t>
      </w:r>
      <w:r>
        <w:rPr>
          <w:rFonts w:ascii="Calibri" w:hAnsi="Calibri"/>
          <w:color w:val="B4B4B4"/>
          <w:sz w:val="18"/>
        </w:rPr>
        <w:t xml:space="preserve">   |   </w:t>
      </w:r>
      <w:r>
        <w:rPr>
          <w:rFonts w:ascii="Calibri" w:hAnsi="Calibri"/>
          <w:color w:val="646464"/>
          <w:sz w:val="18"/>
        </w:rPr>
        <w:t>March 2026</w:t>
      </w:r>
    </w:p>
    <w:p>
      <w:pPr>
        <w:spacing w:before="360" w:after="40"/>
      </w:pPr>
      <w:r>
        <w:rPr>
          <w:rFonts w:ascii="Calibri" w:hAnsi="Calibri"/>
          <w:b/>
          <w:color w:val="1E4078"/>
          <w:sz w:val="32"/>
        </w:rPr>
        <w:t>Executive Summary</w:t>
      </w:r>
    </w:p>
    <w:p>
      <w:pPr>
        <w:pBdr>
          <w:bottom w:val="single" w:sz="6" w:space="1" w:color="1E4078"/>
        </w:pBdr>
        <w:spacing w:before="0" w:after="0"/>
      </w:pPr>
    </w:p>
    <w:p>
      <w:pPr>
        <w:spacing w:after="80"/>
      </w:pPr>
    </w:p>
    <w:p>
      <w:pPr>
        <w:spacing w:before="0" w:after="120"/>
      </w:pPr>
      <w:r>
        <w:rPr>
          <w:rFonts w:ascii="Calibri" w:hAnsi="Calibri"/>
          <w:sz w:val="22"/>
        </w:rPr>
        <w:t>We evaluated the Winston PDS (Project &amp; Development Services) platform — specifically the StonePDS environment — as a potential internal system to manage our capital project portfolio. In parallel, we considered engaging JLL's Project &amp; Development Services practice as our owner's representative and program manager. This document captures the case for choosing JLL and identifies where Winston could add value alongside that engagement.</w:t>
      </w:r>
    </w:p>
    <w:p>
      <w:pPr>
        <w:spacing w:before="0" w:after="120"/>
      </w:pPr>
      <w:r>
        <w:rPr>
          <w:rFonts w:ascii="Calibri" w:hAnsi="Calibri"/>
          <w:i/>
          <w:color w:val="284682"/>
          <w:sz w:val="22"/>
        </w:rPr>
        <w:t>The central finding: Winston PDS is a project management information system — a layer of software. JLL PDS is a professional services engagement — people with licenses, relationships, accountability, and liability. On a capital project where scope, budget, schedule, and regulatory compliance carry real financial and legal consequences, these are not substitutes for each other, and the gap is decisive.</w:t>
      </w:r>
    </w:p>
    <w:p>
      <w:pPr>
        <w:spacing w:after="80"/>
      </w:pPr>
    </w:p>
    <w:tbl>
      <w:tblPr>
        <w:tblStyle w:val="TableGrid"/>
        <w:tblW w:type="auto" w:w="0"/>
        <w:jc w:val="left"/>
        <w:tblLook w:firstColumn="1" w:firstRow="1" w:lastColumn="0" w:lastRow="0" w:noHBand="0" w:noVBand="1" w:val="04A0"/>
      </w:tblPr>
      <w:tblGrid>
        <w:gridCol w:w="4032"/>
        <w:gridCol w:w="3456"/>
        <w:gridCol w:w="3456"/>
      </w:tblGrid>
      <w:tr>
        <w:tc>
          <w:tcPr>
            <w:tcW w:type="dxa" w:w="3024"/>
            <w:shd w:val="clear" w:color="auto" w:fill="1E4078"/>
          </w:tcPr>
          <w:p>
            <w:pPr>
              <w:spacing w:after="40" w:before="40"/>
            </w:pPr>
            <w:r>
              <w:rPr>
                <w:rFonts w:ascii="Calibri" w:hAnsi="Calibri"/>
                <w:b/>
                <w:color w:val="FFFFFF"/>
                <w:sz w:val="20"/>
              </w:rPr>
              <w:t>Dimension</w:t>
            </w:r>
          </w:p>
        </w:tc>
        <w:tc>
          <w:tcPr>
            <w:tcW w:type="dxa" w:w="3024"/>
            <w:shd w:val="clear" w:color="auto" w:fill="1E4078"/>
          </w:tcPr>
          <w:p>
            <w:pPr>
              <w:spacing w:after="40" w:before="40"/>
              <w:jc w:val="center"/>
            </w:pPr>
            <w:r>
              <w:rPr>
                <w:rFonts w:ascii="Calibri" w:hAnsi="Calibri"/>
                <w:b/>
                <w:color w:val="FFFFFF"/>
                <w:sz w:val="20"/>
              </w:rPr>
              <w:t>JLL PDS</w:t>
            </w:r>
          </w:p>
        </w:tc>
        <w:tc>
          <w:tcPr>
            <w:tcW w:type="dxa" w:w="3024"/>
            <w:shd w:val="clear" w:color="auto" w:fill="1E4078"/>
          </w:tcPr>
          <w:p>
            <w:pPr>
              <w:spacing w:after="40" w:before="40"/>
              <w:jc w:val="center"/>
            </w:pPr>
            <w:r>
              <w:rPr>
                <w:rFonts w:ascii="Calibri" w:hAnsi="Calibri"/>
                <w:b/>
                <w:color w:val="FFFFFF"/>
                <w:sz w:val="20"/>
              </w:rPr>
              <w:t>Winston PDS (Current)</w:t>
            </w:r>
          </w:p>
        </w:tc>
      </w:tr>
      <w:tr>
        <w:tc>
          <w:tcPr>
            <w:tcW w:type="dxa" w:w="4032"/>
            <w:shd w:val="clear" w:color="auto" w:fill="F0F4FA"/>
          </w:tcPr>
          <w:p>
            <w:pPr>
              <w:spacing w:after="40" w:before="40"/>
            </w:pPr>
            <w:r>
              <w:rPr>
                <w:rFonts w:ascii="Calibri" w:hAnsi="Calibri"/>
                <w:b w:val="0"/>
                <w:sz w:val="19"/>
              </w:rPr>
              <w:t>Professional Accountability</w:t>
            </w:r>
          </w:p>
        </w:tc>
        <w:tc>
          <w:tcPr>
            <w:tcW w:type="dxa" w:w="3456"/>
            <w:shd w:val="clear" w:color="auto" w:fill="F0F4FA"/>
          </w:tcPr>
          <w:p>
            <w:pPr>
              <w:spacing w:after="40" w:before="40"/>
              <w:jc w:val="center"/>
            </w:pPr>
            <w:r>
              <w:rPr>
                <w:rFonts w:ascii="Calibri" w:hAnsi="Calibri"/>
                <w:b w:val="0"/>
                <w:sz w:val="19"/>
              </w:rPr>
              <w:t>✔  E&amp;O, licensed staff</w:t>
            </w:r>
          </w:p>
        </w:tc>
        <w:tc>
          <w:tcPr>
            <w:tcW w:type="dxa" w:w="3456"/>
            <w:shd w:val="clear" w:color="auto" w:fill="F0F4FA"/>
          </w:tcPr>
          <w:p>
            <w:pPr>
              <w:spacing w:after="40" w:before="40"/>
              <w:jc w:val="center"/>
            </w:pPr>
            <w:r>
              <w:rPr>
                <w:rFonts w:ascii="Calibri" w:hAnsi="Calibri"/>
                <w:b w:val="0"/>
                <w:sz w:val="19"/>
              </w:rPr>
              <w:t>✘  Software only</w:t>
            </w:r>
          </w:p>
        </w:tc>
      </w:tr>
      <w:tr>
        <w:tc>
          <w:tcPr>
            <w:tcW w:type="dxa" w:w="4032"/>
            <w:shd w:val="clear" w:color="auto" w:fill="FFFFFF"/>
          </w:tcPr>
          <w:p>
            <w:pPr>
              <w:spacing w:after="40" w:before="40"/>
            </w:pPr>
            <w:r>
              <w:rPr>
                <w:rFonts w:ascii="Calibri" w:hAnsi="Calibri"/>
                <w:b w:val="0"/>
                <w:sz w:val="19"/>
              </w:rPr>
              <w:t>On-Site Presence</w:t>
            </w:r>
          </w:p>
        </w:tc>
        <w:tc>
          <w:tcPr>
            <w:tcW w:type="dxa" w:w="3456"/>
            <w:shd w:val="clear" w:color="auto" w:fill="FFFFFF"/>
          </w:tcPr>
          <w:p>
            <w:pPr>
              <w:spacing w:after="40" w:before="40"/>
              <w:jc w:val="center"/>
            </w:pPr>
            <w:r>
              <w:rPr>
                <w:rFonts w:ascii="Calibri" w:hAnsi="Calibri"/>
                <w:b w:val="0"/>
                <w:sz w:val="19"/>
              </w:rPr>
              <w:t>✔  Embedded PMs at site</w:t>
            </w:r>
          </w:p>
        </w:tc>
        <w:tc>
          <w:tcPr>
            <w:tcW w:type="dxa" w:w="3456"/>
            <w:shd w:val="clear" w:color="auto" w:fill="FFFFFF"/>
          </w:tcPr>
          <w:p>
            <w:pPr>
              <w:spacing w:after="40" w:before="40"/>
              <w:jc w:val="center"/>
            </w:pPr>
            <w:r>
              <w:rPr>
                <w:rFonts w:ascii="Calibri" w:hAnsi="Calibri"/>
                <w:b w:val="0"/>
                <w:sz w:val="19"/>
              </w:rPr>
              <w:t>✘  Dashboard only</w:t>
            </w:r>
          </w:p>
        </w:tc>
      </w:tr>
      <w:tr>
        <w:tc>
          <w:tcPr>
            <w:tcW w:type="dxa" w:w="4032"/>
            <w:shd w:val="clear" w:color="auto" w:fill="F0F4FA"/>
          </w:tcPr>
          <w:p>
            <w:pPr>
              <w:spacing w:after="40" w:before="40"/>
            </w:pPr>
            <w:r>
              <w:rPr>
                <w:rFonts w:ascii="Calibri" w:hAnsi="Calibri"/>
                <w:b w:val="0"/>
                <w:sz w:val="19"/>
              </w:rPr>
              <w:t>Licensed Engineers / Architects</w:t>
            </w:r>
          </w:p>
        </w:tc>
        <w:tc>
          <w:tcPr>
            <w:tcW w:type="dxa" w:w="3456"/>
            <w:shd w:val="clear" w:color="auto" w:fill="F0F4FA"/>
          </w:tcPr>
          <w:p>
            <w:pPr>
              <w:spacing w:after="40" w:before="40"/>
              <w:jc w:val="center"/>
            </w:pPr>
            <w:r>
              <w:rPr>
                <w:rFonts w:ascii="Calibri" w:hAnsi="Calibri"/>
                <w:b w:val="0"/>
                <w:sz w:val="19"/>
              </w:rPr>
              <w:t>✔  In-house &amp; network</w:t>
            </w:r>
          </w:p>
        </w:tc>
        <w:tc>
          <w:tcPr>
            <w:tcW w:type="dxa" w:w="3456"/>
            <w:shd w:val="clear" w:color="auto" w:fill="F0F4FA"/>
          </w:tcPr>
          <w:p>
            <w:pPr>
              <w:spacing w:after="40" w:before="40"/>
              <w:jc w:val="center"/>
            </w:pPr>
            <w:r>
              <w:rPr>
                <w:rFonts w:ascii="Calibri" w:hAnsi="Calibri"/>
                <w:b w:val="0"/>
                <w:sz w:val="19"/>
              </w:rPr>
              <w:t>✘  Not applicable</w:t>
            </w:r>
          </w:p>
        </w:tc>
      </w:tr>
      <w:tr>
        <w:tc>
          <w:tcPr>
            <w:tcW w:type="dxa" w:w="4032"/>
            <w:shd w:val="clear" w:color="auto" w:fill="FFFFFF"/>
          </w:tcPr>
          <w:p>
            <w:pPr>
              <w:spacing w:after="40" w:before="40"/>
            </w:pPr>
            <w:r>
              <w:rPr>
                <w:rFonts w:ascii="Calibri" w:hAnsi="Calibri"/>
                <w:b w:val="0"/>
                <w:sz w:val="19"/>
              </w:rPr>
              <w:t>Contractor Leverage &amp; Bidding</w:t>
            </w:r>
          </w:p>
        </w:tc>
        <w:tc>
          <w:tcPr>
            <w:tcW w:type="dxa" w:w="3456"/>
            <w:shd w:val="clear" w:color="auto" w:fill="FFFFFF"/>
          </w:tcPr>
          <w:p>
            <w:pPr>
              <w:spacing w:after="40" w:before="40"/>
              <w:jc w:val="center"/>
            </w:pPr>
            <w:r>
              <w:rPr>
                <w:rFonts w:ascii="Calibri" w:hAnsi="Calibri"/>
                <w:b w:val="0"/>
                <w:sz w:val="19"/>
              </w:rPr>
              <w:t>✔  Multi-billion $ volume</w:t>
            </w:r>
          </w:p>
        </w:tc>
        <w:tc>
          <w:tcPr>
            <w:tcW w:type="dxa" w:w="3456"/>
            <w:shd w:val="clear" w:color="auto" w:fill="FFFFFF"/>
          </w:tcPr>
          <w:p>
            <w:pPr>
              <w:spacing w:after="40" w:before="40"/>
              <w:jc w:val="center"/>
            </w:pPr>
            <w:r>
              <w:rPr>
                <w:rFonts w:ascii="Calibri" w:hAnsi="Calibri"/>
                <w:b w:val="0"/>
                <w:sz w:val="19"/>
              </w:rPr>
              <w:t>✘  Not a function</w:t>
            </w:r>
          </w:p>
        </w:tc>
      </w:tr>
      <w:tr>
        <w:tc>
          <w:tcPr>
            <w:tcW w:type="dxa" w:w="4032"/>
            <w:shd w:val="clear" w:color="auto" w:fill="F0F4FA"/>
          </w:tcPr>
          <w:p>
            <w:pPr>
              <w:spacing w:after="40" w:before="40"/>
            </w:pPr>
            <w:r>
              <w:rPr>
                <w:rFonts w:ascii="Calibri" w:hAnsi="Calibri"/>
                <w:b w:val="0"/>
                <w:sz w:val="19"/>
              </w:rPr>
              <w:t>Change Order Negotiation</w:t>
            </w:r>
          </w:p>
        </w:tc>
        <w:tc>
          <w:tcPr>
            <w:tcW w:type="dxa" w:w="3456"/>
            <w:shd w:val="clear" w:color="auto" w:fill="F0F4FA"/>
          </w:tcPr>
          <w:p>
            <w:pPr>
              <w:spacing w:after="40" w:before="40"/>
              <w:jc w:val="center"/>
            </w:pPr>
            <w:r>
              <w:rPr>
                <w:rFonts w:ascii="Calibri" w:hAnsi="Calibri"/>
                <w:b w:val="0"/>
                <w:sz w:val="19"/>
              </w:rPr>
              <w:t>✔  Expert review &amp; dispute staff</w:t>
            </w:r>
          </w:p>
        </w:tc>
        <w:tc>
          <w:tcPr>
            <w:tcW w:type="dxa" w:w="3456"/>
            <w:shd w:val="clear" w:color="auto" w:fill="F0F4FA"/>
          </w:tcPr>
          <w:p>
            <w:pPr>
              <w:spacing w:after="40" w:before="40"/>
              <w:jc w:val="center"/>
            </w:pPr>
            <w:r>
              <w:rPr>
                <w:rFonts w:ascii="Calibri" w:hAnsi="Calibri"/>
                <w:b w:val="0"/>
                <w:sz w:val="19"/>
              </w:rPr>
              <w:t>✘  Tracks; does not dispute</w:t>
            </w:r>
          </w:p>
        </w:tc>
      </w:tr>
      <w:tr>
        <w:tc>
          <w:tcPr>
            <w:tcW w:type="dxa" w:w="4032"/>
            <w:shd w:val="clear" w:color="auto" w:fill="FFFFFF"/>
          </w:tcPr>
          <w:p>
            <w:pPr>
              <w:spacing w:after="40" w:before="40"/>
            </w:pPr>
            <w:r>
              <w:rPr>
                <w:rFonts w:ascii="Calibri" w:hAnsi="Calibri"/>
                <w:b w:val="0"/>
                <w:sz w:val="19"/>
              </w:rPr>
              <w:t>Permit &amp; Regulatory Leverage</w:t>
            </w:r>
          </w:p>
        </w:tc>
        <w:tc>
          <w:tcPr>
            <w:tcW w:type="dxa" w:w="3456"/>
            <w:shd w:val="clear" w:color="auto" w:fill="FFFFFF"/>
          </w:tcPr>
          <w:p>
            <w:pPr>
              <w:spacing w:after="40" w:before="40"/>
              <w:jc w:val="center"/>
            </w:pPr>
            <w:r>
              <w:rPr>
                <w:rFonts w:ascii="Calibri" w:hAnsi="Calibri"/>
                <w:b w:val="0"/>
                <w:sz w:val="19"/>
              </w:rPr>
              <w:t>✔  Local market relationships</w:t>
            </w:r>
          </w:p>
        </w:tc>
        <w:tc>
          <w:tcPr>
            <w:tcW w:type="dxa" w:w="3456"/>
            <w:shd w:val="clear" w:color="auto" w:fill="FFFFFF"/>
          </w:tcPr>
          <w:p>
            <w:pPr>
              <w:spacing w:after="40" w:before="40"/>
              <w:jc w:val="center"/>
            </w:pPr>
            <w:r>
              <w:rPr>
                <w:rFonts w:ascii="Calibri" w:hAnsi="Calibri"/>
                <w:b w:val="0"/>
                <w:sz w:val="19"/>
              </w:rPr>
              <w:t>✘  Not a function</w:t>
            </w:r>
          </w:p>
        </w:tc>
      </w:tr>
      <w:tr>
        <w:tc>
          <w:tcPr>
            <w:tcW w:type="dxa" w:w="4032"/>
            <w:shd w:val="clear" w:color="auto" w:fill="F0F4FA"/>
          </w:tcPr>
          <w:p>
            <w:pPr>
              <w:spacing w:after="40" w:before="40"/>
            </w:pPr>
            <w:r>
              <w:rPr>
                <w:rFonts w:ascii="Calibri" w:hAnsi="Calibri"/>
                <w:b w:val="0"/>
                <w:sz w:val="19"/>
              </w:rPr>
              <w:t>Cost Benchmarking Database</w:t>
            </w:r>
          </w:p>
        </w:tc>
        <w:tc>
          <w:tcPr>
            <w:tcW w:type="dxa" w:w="3456"/>
            <w:shd w:val="clear" w:color="auto" w:fill="F0F4FA"/>
          </w:tcPr>
          <w:p>
            <w:pPr>
              <w:spacing w:after="40" w:before="40"/>
              <w:jc w:val="center"/>
            </w:pPr>
            <w:r>
              <w:rPr>
                <w:rFonts w:ascii="Calibri" w:hAnsi="Calibri"/>
                <w:b w:val="0"/>
                <w:sz w:val="19"/>
              </w:rPr>
              <w:t>✔  Thousands of projects</w:t>
            </w:r>
          </w:p>
        </w:tc>
        <w:tc>
          <w:tcPr>
            <w:tcW w:type="dxa" w:w="3456"/>
            <w:shd w:val="clear" w:color="auto" w:fill="F0F4FA"/>
          </w:tcPr>
          <w:p>
            <w:pPr>
              <w:spacing w:after="40" w:before="40"/>
              <w:jc w:val="center"/>
            </w:pPr>
            <w:r>
              <w:rPr>
                <w:rFonts w:ascii="Calibri" w:hAnsi="Calibri"/>
                <w:b w:val="0"/>
                <w:sz w:val="19"/>
              </w:rPr>
              <w:t>—  Not yet built</w:t>
            </w:r>
          </w:p>
        </w:tc>
      </w:tr>
      <w:tr>
        <w:tc>
          <w:tcPr>
            <w:tcW w:type="dxa" w:w="4032"/>
            <w:shd w:val="clear" w:color="auto" w:fill="FFFFFF"/>
          </w:tcPr>
          <w:p>
            <w:pPr>
              <w:spacing w:after="40" w:before="40"/>
            </w:pPr>
            <w:r>
              <w:rPr>
                <w:rFonts w:ascii="Calibri" w:hAnsi="Calibri"/>
                <w:b w:val="0"/>
                <w:sz w:val="19"/>
              </w:rPr>
              <w:t>Document / RFI Management</w:t>
            </w:r>
          </w:p>
        </w:tc>
        <w:tc>
          <w:tcPr>
            <w:tcW w:type="dxa" w:w="3456"/>
            <w:shd w:val="clear" w:color="auto" w:fill="FFFFFF"/>
          </w:tcPr>
          <w:p>
            <w:pPr>
              <w:spacing w:after="40" w:before="40"/>
              <w:jc w:val="center"/>
            </w:pPr>
            <w:r>
              <w:rPr>
                <w:rFonts w:ascii="Calibri" w:hAnsi="Calibri"/>
                <w:b w:val="0"/>
                <w:sz w:val="19"/>
              </w:rPr>
              <w:t>✔  Full program management</w:t>
            </w:r>
          </w:p>
        </w:tc>
        <w:tc>
          <w:tcPr>
            <w:tcW w:type="dxa" w:w="3456"/>
            <w:shd w:val="clear" w:color="auto" w:fill="FFFFFF"/>
          </w:tcPr>
          <w:p>
            <w:pPr>
              <w:spacing w:after="40" w:before="40"/>
              <w:jc w:val="center"/>
            </w:pPr>
            <w:r>
              <w:rPr>
                <w:rFonts w:ascii="Calibri" w:hAnsi="Calibri"/>
                <w:b w:val="0"/>
                <w:sz w:val="19"/>
              </w:rPr>
              <w:t>⚠  Module exists, nascent</w:t>
            </w:r>
          </w:p>
        </w:tc>
      </w:tr>
      <w:tr>
        <w:tc>
          <w:tcPr>
            <w:tcW w:type="dxa" w:w="4032"/>
            <w:shd w:val="clear" w:color="auto" w:fill="F0F4FA"/>
          </w:tcPr>
          <w:p>
            <w:pPr>
              <w:spacing w:after="40" w:before="40"/>
            </w:pPr>
            <w:r>
              <w:rPr>
                <w:rFonts w:ascii="Calibri" w:hAnsi="Calibri"/>
                <w:b w:val="0"/>
                <w:sz w:val="19"/>
              </w:rPr>
              <w:t>Budget &amp; Schedule Visibility</w:t>
            </w:r>
          </w:p>
        </w:tc>
        <w:tc>
          <w:tcPr>
            <w:tcW w:type="dxa" w:w="3456"/>
            <w:shd w:val="clear" w:color="auto" w:fill="F0F4FA"/>
          </w:tcPr>
          <w:p>
            <w:pPr>
              <w:spacing w:after="40" w:before="40"/>
              <w:jc w:val="center"/>
            </w:pPr>
            <w:r>
              <w:rPr>
                <w:rFonts w:ascii="Calibri" w:hAnsi="Calibri"/>
                <w:b w:val="0"/>
                <w:sz w:val="19"/>
              </w:rPr>
              <w:t>✔  Live data, expert oversight</w:t>
            </w:r>
          </w:p>
        </w:tc>
        <w:tc>
          <w:tcPr>
            <w:tcW w:type="dxa" w:w="3456"/>
            <w:shd w:val="clear" w:color="auto" w:fill="F0F4FA"/>
          </w:tcPr>
          <w:p>
            <w:pPr>
              <w:spacing w:after="40" w:before="40"/>
              <w:jc w:val="center"/>
            </w:pPr>
            <w:r>
              <w:rPr>
                <w:rFonts w:ascii="Calibri" w:hAnsi="Calibri"/>
                <w:b w:val="0"/>
                <w:sz w:val="19"/>
              </w:rPr>
              <w:t>⚠  Shell built, no live data</w:t>
            </w:r>
          </w:p>
        </w:tc>
      </w:tr>
      <w:tr>
        <w:tc>
          <w:tcPr>
            <w:tcW w:type="dxa" w:w="4032"/>
            <w:shd w:val="clear" w:color="auto" w:fill="FFFFFF"/>
          </w:tcPr>
          <w:p>
            <w:pPr>
              <w:spacing w:after="40" w:before="40"/>
            </w:pPr>
            <w:r>
              <w:rPr>
                <w:rFonts w:ascii="Calibri" w:hAnsi="Calibri"/>
                <w:b w:val="0"/>
                <w:sz w:val="19"/>
              </w:rPr>
              <w:t>AI Governance / Audit Trail</w:t>
            </w:r>
          </w:p>
        </w:tc>
        <w:tc>
          <w:tcPr>
            <w:tcW w:type="dxa" w:w="3456"/>
            <w:shd w:val="clear" w:color="auto" w:fill="FFFFFF"/>
          </w:tcPr>
          <w:p>
            <w:pPr>
              <w:spacing w:after="40" w:before="40"/>
              <w:jc w:val="center"/>
            </w:pPr>
            <w:r>
              <w:rPr>
                <w:rFonts w:ascii="Calibri" w:hAnsi="Calibri"/>
                <w:b w:val="0"/>
                <w:sz w:val="19"/>
              </w:rPr>
              <w:t>—  Not a core differentiator</w:t>
            </w:r>
          </w:p>
        </w:tc>
        <w:tc>
          <w:tcPr>
            <w:tcW w:type="dxa" w:w="3456"/>
            <w:shd w:val="clear" w:color="auto" w:fill="FFFFFF"/>
          </w:tcPr>
          <w:p>
            <w:pPr>
              <w:spacing w:after="40" w:before="40"/>
              <w:jc w:val="center"/>
            </w:pPr>
            <w:r>
              <w:rPr>
                <w:rFonts w:ascii="Calibri" w:hAnsi="Calibri"/>
                <w:b w:val="0"/>
                <w:sz w:val="19"/>
              </w:rPr>
              <w:t>✔  Present and functional</w:t>
            </w:r>
          </w:p>
        </w:tc>
      </w:tr>
      <w:tr>
        <w:tc>
          <w:tcPr>
            <w:tcW w:type="dxa" w:w="4032"/>
            <w:shd w:val="clear" w:color="auto" w:fill="F0F4FA"/>
          </w:tcPr>
          <w:p>
            <w:pPr>
              <w:spacing w:after="40" w:before="40"/>
            </w:pPr>
            <w:r>
              <w:rPr>
                <w:rFonts w:ascii="Calibri" w:hAnsi="Calibri"/>
                <w:b w:val="0"/>
                <w:sz w:val="19"/>
              </w:rPr>
              <w:t>Platform Stability</w:t>
            </w:r>
          </w:p>
        </w:tc>
        <w:tc>
          <w:tcPr>
            <w:tcW w:type="dxa" w:w="3456"/>
            <w:shd w:val="clear" w:color="auto" w:fill="F0F4FA"/>
          </w:tcPr>
          <w:p>
            <w:pPr>
              <w:spacing w:after="40" w:before="40"/>
              <w:jc w:val="center"/>
            </w:pPr>
            <w:r>
              <w:rPr>
                <w:rFonts w:ascii="Calibri" w:hAnsi="Calibri"/>
                <w:b w:val="0"/>
                <w:sz w:val="19"/>
              </w:rPr>
              <w:t>—  N/A</w:t>
            </w:r>
          </w:p>
        </w:tc>
        <w:tc>
          <w:tcPr>
            <w:tcW w:type="dxa" w:w="3456"/>
            <w:shd w:val="clear" w:color="auto" w:fill="F0F4FA"/>
          </w:tcPr>
          <w:p>
            <w:pPr>
              <w:spacing w:after="40" w:before="40"/>
              <w:jc w:val="center"/>
            </w:pPr>
            <w:r>
              <w:rPr>
                <w:rFonts w:ascii="Calibri" w:hAnsi="Calibri"/>
                <w:b w:val="0"/>
                <w:sz w:val="19"/>
              </w:rPr>
              <w:t>✘  Schema errors, 404s</w:t>
            </w:r>
          </w:p>
        </w:tc>
      </w:tr>
    </w:tbl>
    <w:p>
      <w:pPr>
        <w:spacing w:after="160"/>
      </w:pPr>
    </w:p>
    <w:p>
      <w:pPr>
        <w:spacing w:before="360" w:after="40"/>
      </w:pPr>
      <w:r>
        <w:rPr>
          <w:rFonts w:ascii="Calibri" w:hAnsi="Calibri"/>
          <w:b/>
          <w:color w:val="1E4078"/>
          <w:sz w:val="32"/>
        </w:rPr>
        <w:t>1.  What We Observed in Winston PDS</w:t>
      </w:r>
    </w:p>
    <w:p>
      <w:pPr>
        <w:pBdr>
          <w:bottom w:val="single" w:sz="6" w:space="1" w:color="1E4078"/>
        </w:pBdr>
        <w:spacing w:before="0" w:after="0"/>
      </w:pPr>
    </w:p>
    <w:p>
      <w:pPr>
        <w:spacing w:after="80"/>
      </w:pPr>
    </w:p>
    <w:p>
      <w:pPr>
        <w:spacing w:before="0" w:after="120"/>
      </w:pPr>
      <w:r>
        <w:rPr>
          <w:rFonts w:ascii="Calibri" w:hAnsi="Calibri"/>
          <w:sz w:val="22"/>
        </w:rPr>
        <w:t>We logged into the StonePDS environment and walked through every accessible module. The platform's architecture is thoughtful — department-tabbed layout, plan-confirm-execute Command Center with audit trail, and a document hub with chunk-level semantic search. What we found is a platform that is structurally sound but operationally empty, and in places not yet functional.</w:t>
      </w:r>
    </w:p>
    <w:p>
      <w:pPr>
        <w:spacing w:before="240" w:after="40"/>
      </w:pPr>
      <w:r>
        <w:rPr>
          <w:rFonts w:ascii="Calibri" w:hAnsi="Calibri"/>
          <w:b/>
          <w:color w:val="2D5AA0"/>
          <w:sz w:val="24"/>
        </w:rPr>
        <w:t>What Is Built</w:t>
      </w:r>
    </w:p>
    <w:p>
      <w:pPr>
        <w:pStyle w:val="ListBullet"/>
        <w:spacing w:after="60"/>
      </w:pPr>
      <w:r>
        <w:rPr>
          <w:rFonts w:ascii="Calibri" w:hAnsi="Calibri"/>
          <w:sz w:val="22"/>
        </w:rPr>
        <w:t>PDS Command Center — 'portfolio budgeting, schedule health, change orders, and risk rollups.' All KPI tiles (Approved Budget, Committed, Spent, EAC, Variance, Top Risks) show blank.</w:t>
      </w:r>
    </w:p>
    <w:p>
      <w:pPr>
        <w:pStyle w:val="ListBullet"/>
        <w:spacing w:after="60"/>
      </w:pPr>
      <w:r>
        <w:rPr>
          <w:rFonts w:ascii="Calibri" w:hAnsi="Calibri"/>
          <w:sz w:val="22"/>
        </w:rPr>
        <w:t>Projects module — Active Projects, Milestones, Gantt, Budget, Issues, and Reports are named stubs with descriptions but no data or working views.</w:t>
      </w:r>
    </w:p>
    <w:p>
      <w:pPr>
        <w:pStyle w:val="ListBullet"/>
        <w:spacing w:after="60"/>
      </w:pPr>
      <w:r>
        <w:rPr>
          <w:rFonts w:ascii="Calibri" w:hAnsi="Calibri"/>
          <w:sz w:val="22"/>
        </w:rPr>
        <w:t>Operations module — Workflows, SOP Library, KPIs, Vendors, Inventory, Automation. Presence of 'Medical Backoffice' signals a generic platform, not a construction-specific one.</w:t>
      </w:r>
    </w:p>
    <w:p>
      <w:pPr>
        <w:pStyle w:val="ListBullet"/>
        <w:spacing w:after="60"/>
      </w:pPr>
      <w:r>
        <w:rPr>
          <w:rFonts w:ascii="Calibri" w:hAnsi="Calibri"/>
          <w:sz w:val="22"/>
        </w:rPr>
        <w:t>Accounting module — Chart of Accounts, Journal Entries, Ledger, AP, AR, Reconciliations, Statements, Controls. Meaningful for owner-side financial consolidation.</w:t>
      </w:r>
    </w:p>
    <w:p>
      <w:pPr>
        <w:pStyle w:val="ListBullet"/>
        <w:spacing w:after="60"/>
      </w:pPr>
      <w:r>
        <w:rPr>
          <w:rFonts w:ascii="Calibri" w:hAnsi="Calibri"/>
          <w:sz w:val="22"/>
        </w:rPr>
        <w:t>Reporting module — Executive Dashboards, Financial Reports, Investor Reporting, Scheduled Exports.</w:t>
      </w:r>
    </w:p>
    <w:p>
      <w:pPr>
        <w:pStyle w:val="ListBullet"/>
        <w:spacing w:after="60"/>
      </w:pPr>
      <w:r>
        <w:rPr>
          <w:rFonts w:ascii="Calibri" w:hAnsi="Calibri"/>
          <w:sz w:val="22"/>
        </w:rPr>
        <w:t>Documents hub — Upload, version, and search PDFs/DOCX with chunk-level indexing and hybrid semantic search. A genuine and differentiated capability.</w:t>
      </w:r>
    </w:p>
    <w:p>
      <w:pPr>
        <w:pStyle w:val="ListBullet"/>
        <w:spacing w:after="60"/>
      </w:pPr>
      <w:r>
        <w:rPr>
          <w:rFonts w:ascii="Calibri" w:hAnsi="Calibri"/>
          <w:sz w:val="22"/>
        </w:rPr>
        <w:t>Environment Pipeline — CRM-style deal pipeline (Inbound, Discovery, Proposal, Negotiation, Closed Won) for tracking new business.</w:t>
      </w:r>
    </w:p>
    <w:p>
      <w:pPr>
        <w:pStyle w:val="ListBullet"/>
        <w:spacing w:after="60"/>
      </w:pPr>
      <w:r>
        <w:rPr>
          <w:rFonts w:ascii="Calibri" w:hAnsi="Calibri"/>
          <w:sz w:val="22"/>
        </w:rPr>
        <w:t>AI Command Center — Plan → Confirm → Execute with an explicit confirmation gate and full audit trail. The most differentiated feature present.</w:t>
      </w:r>
    </w:p>
    <w:p>
      <w:pPr>
        <w:spacing w:after="40"/>
      </w:pPr>
    </w:p>
    <w:p>
      <w:pPr>
        <w:spacing w:before="240" w:after="40"/>
      </w:pPr>
      <w:r>
        <w:rPr>
          <w:rFonts w:ascii="Calibri" w:hAnsi="Calibri"/>
          <w:b/>
          <w:color w:val="2D5AA0"/>
          <w:sz w:val="24"/>
        </w:rPr>
        <w:t>What Is Not Working</w:t>
      </w:r>
    </w:p>
    <w:p>
      <w:pPr>
        <w:pStyle w:val="ListBullet"/>
        <w:spacing w:after="60"/>
      </w:pPr>
      <w:r>
        <w:rPr>
          <w:rFonts w:ascii="Calibri" w:hAnsi="Calibri"/>
          <w:sz w:val="22"/>
        </w:rPr>
        <w:t>Core PDS workspace fails to load: 'column industry_type does not exist' — a schema migration error blocking the primary project view and the Legal tab.</w:t>
      </w:r>
    </w:p>
    <w:p>
      <w:pPr>
        <w:pStyle w:val="ListBullet"/>
        <w:spacing w:after="60"/>
      </w:pPr>
      <w:r>
        <w:rPr>
          <w:rFonts w:ascii="Calibri" w:hAnsi="Calibri"/>
          <w:sz w:val="22"/>
        </w:rPr>
        <w:t>AI tab returns 404. Team tab returns 404. These are unbuilt or unlinked routes.</w:t>
      </w:r>
    </w:p>
    <w:p>
      <w:pPr>
        <w:pStyle w:val="ListBullet"/>
        <w:spacing w:after="60"/>
      </w:pPr>
      <w:r>
        <w:rPr>
          <w:rFonts w:ascii="Calibri" w:hAnsi="Calibri"/>
          <w:sz w:val="22"/>
        </w:rPr>
        <w:t>No active project data — the environment was seeded at 8:45 PM 3/2/2026 per the activity log, but no projects, milestones, budget line items, or issues were created.</w:t>
      </w:r>
    </w:p>
    <w:p>
      <w:pPr>
        <w:pStyle w:val="ListBullet"/>
        <w:spacing w:after="60"/>
      </w:pPr>
      <w:r>
        <w:rPr>
          <w:rFonts w:ascii="Calibri" w:hAnsi="Calibri"/>
          <w:sz w:val="22"/>
        </w:rPr>
        <w:t>Gantt, Milestone tracker, and Budget views are shells — labels only, no visible underlying data model.</w:t>
      </w:r>
    </w:p>
    <w:p>
      <w:pPr>
        <w:spacing w:after="80"/>
      </w:pPr>
    </w:p>
    <w:p>
      <w:pPr>
        <w:spacing w:before="0" w:after="120"/>
      </w:pPr>
      <w:r>
        <w:rPr>
          <w:rFonts w:ascii="Calibri" w:hAnsi="Calibri"/>
          <w:i/>
          <w:color w:val="325082"/>
          <w:sz w:val="22"/>
        </w:rPr>
        <w:t>Honest summary: Winston PDS has the skeleton of a project management information system. It is not a PDS provider. It is a platform that, when fully built and populated, could help an owner organize and track a project — but it cannot manage one.</w:t>
      </w:r>
    </w:p>
    <w:p>
      <w:pPr>
        <w:spacing w:after="160"/>
      </w:pPr>
    </w:p>
    <w:p>
      <w:pPr>
        <w:spacing w:before="360" w:after="40"/>
      </w:pPr>
      <w:r>
        <w:rPr>
          <w:rFonts w:ascii="Calibri" w:hAnsi="Calibri"/>
          <w:b/>
          <w:color w:val="1E4078"/>
          <w:sz w:val="32"/>
        </w:rPr>
        <w:t>2.  Why We Would Choose JLL: The Detailed Case</w:t>
      </w:r>
    </w:p>
    <w:p>
      <w:pPr>
        <w:pBdr>
          <w:bottom w:val="single" w:sz="6" w:space="1" w:color="1E4078"/>
        </w:pBdr>
        <w:spacing w:before="0" w:after="0"/>
      </w:pPr>
    </w:p>
    <w:p>
      <w:pPr>
        <w:spacing w:after="80"/>
      </w:pPr>
    </w:p>
    <w:p>
      <w:pPr>
        <w:spacing w:before="240" w:after="40"/>
      </w:pPr>
      <w:r>
        <w:rPr>
          <w:rFonts w:ascii="Calibri" w:hAnsi="Calibri"/>
          <w:b/>
          <w:color w:val="2D5AA0"/>
          <w:sz w:val="24"/>
        </w:rPr>
        <w:t>2.1  JLL Carries Professional Liability. Winston Does Not.</w:t>
      </w:r>
    </w:p>
    <w:p>
      <w:pPr>
        <w:spacing w:before="0" w:after="160"/>
      </w:pPr>
      <w:r>
        <w:rPr>
          <w:rFonts w:ascii="Calibri" w:hAnsi="Calibri"/>
          <w:sz w:val="22"/>
        </w:rPr>
        <w:t>When a construction project goes wrong, there must be an accountable professional party. JLL maintains errors and omissions (E&amp;O) insurance, employs licensed engineers and architects, and operates under professional service contracts that create legal accountability for their decisions. Winston is software. If the Gantt is wrong or the risk log misses a critical issue, there is no professional liability. The risk stays entirely with us.</w:t>
      </w:r>
    </w:p>
    <w:p>
      <w:pPr>
        <w:spacing w:before="240" w:after="40"/>
      </w:pPr>
      <w:r>
        <w:rPr>
          <w:rFonts w:ascii="Calibri" w:hAnsi="Calibri"/>
          <w:b/>
          <w:color w:val="2D5AA0"/>
          <w:sz w:val="24"/>
        </w:rPr>
        <w:t>2.2  Licensed Professionals Are Required by Law, Not Preference.</w:t>
      </w:r>
    </w:p>
    <w:p>
      <w:pPr>
        <w:spacing w:before="0" w:after="160"/>
      </w:pPr>
      <w:r>
        <w:rPr>
          <w:rFonts w:ascii="Calibri" w:hAnsi="Calibri"/>
          <w:sz w:val="22"/>
        </w:rPr>
        <w:t>Construction administration in virtually every jurisdiction requires a licensed architect or professional engineer to observe work, review submittals, certify pay applications, and issue certificates of substantial completion. JLL employs or partners with licensed professionals in every major market. Winston PDS cannot substitute for a PE stamp on a structural submittal or an AIA certificate on a monthly draw.</w:t>
      </w:r>
    </w:p>
    <w:p>
      <w:pPr>
        <w:spacing w:before="240" w:after="40"/>
      </w:pPr>
      <w:r>
        <w:rPr>
          <w:rFonts w:ascii="Calibri" w:hAnsi="Calibri"/>
          <w:b/>
          <w:color w:val="2D5AA0"/>
          <w:sz w:val="24"/>
        </w:rPr>
        <w:t>2.3  JLL Has People at the Site. Winston Has a Dashboard.</w:t>
      </w:r>
    </w:p>
    <w:p>
      <w:pPr>
        <w:spacing w:before="0" w:after="160"/>
      </w:pPr>
      <w:r>
        <w:rPr>
          <w:rFonts w:ascii="Calibri" w:hAnsi="Calibri"/>
          <w:sz w:val="22"/>
        </w:rPr>
        <w:t>The most consequential events on a construction project happen in the field — a concrete pour, a mechanical rough-in, a waterproofing application, a steel connection. JLL places experienced project managers and observers on site to witness critical-path events, identify deficiencies, and intervene before they become expensive problems. A platform, no matter how sophisticated, cannot observe a slab pour. It can only record what someone tells it.</w:t>
      </w:r>
    </w:p>
    <w:p>
      <w:pPr>
        <w:spacing w:before="240" w:after="40"/>
      </w:pPr>
      <w:r>
        <w:rPr>
          <w:rFonts w:ascii="Calibri" w:hAnsi="Calibri"/>
          <w:b/>
          <w:color w:val="2D5AA0"/>
          <w:sz w:val="24"/>
        </w:rPr>
        <w:t>2.4  Contractor Leverage and Procurement Power Are Not Replicable.</w:t>
      </w:r>
    </w:p>
    <w:p>
      <w:pPr>
        <w:spacing w:before="0" w:after="160"/>
      </w:pPr>
      <w:r>
        <w:rPr>
          <w:rFonts w:ascii="Calibri" w:hAnsi="Calibri"/>
          <w:sz w:val="22"/>
        </w:rPr>
        <w:t>JLL manages billions of dollars in construction procurement annually. That volume creates pricing benchmarks, preferred contractor relationships, and the standing to hold GCs accountable across projects. When JLL bids a project, GCs know performance affects future access. When we bid independently, GCs see a one-time transaction. The difference in bid quality, pricing accuracy, and schedule credibility is material. Winston PDS has no procurement function and no relationship with a single contractor.</w:t>
      </w:r>
    </w:p>
    <w:p>
      <w:pPr>
        <w:spacing w:before="240" w:after="40"/>
      </w:pPr>
      <w:r>
        <w:rPr>
          <w:rFonts w:ascii="Calibri" w:hAnsi="Calibri"/>
          <w:b/>
          <w:color w:val="2D5AA0"/>
          <w:sz w:val="24"/>
        </w:rPr>
        <w:t>2.5  Change Order Management Requires Expertise, Not Software.</w:t>
      </w:r>
    </w:p>
    <w:p>
      <w:pPr>
        <w:spacing w:before="0" w:after="160"/>
      </w:pPr>
      <w:r>
        <w:rPr>
          <w:rFonts w:ascii="Calibri" w:hAnsi="Calibri"/>
          <w:sz w:val="22"/>
        </w:rPr>
        <w:t>Change orders are where projects lose money. On any complex project, a GC will issue requests for scope gaps, differing site conditions, design coordination failures, and weather impacts. Each requires expert review: Is the scope legitimately additional? Is the pricing defensible? Is the schedule impact real? JLL employs cost engineers and construction managers whose primary skill is evaluating, negotiating, and resolving change orders. Winston tracks change orders — it does not evaluate whether they are legitimate, and it cannot negotiate on our behalf.</w:t>
      </w:r>
    </w:p>
    <w:p>
      <w:pPr>
        <w:spacing w:before="240" w:after="40"/>
      </w:pPr>
      <w:r>
        <w:rPr>
          <w:rFonts w:ascii="Calibri" w:hAnsi="Calibri"/>
          <w:b/>
          <w:color w:val="2D5AA0"/>
          <w:sz w:val="24"/>
        </w:rPr>
        <w:t>2.6  Local Market Knowledge Cannot Be Uploaded.</w:t>
      </w:r>
    </w:p>
    <w:p>
      <w:pPr>
        <w:spacing w:before="0" w:after="160"/>
      </w:pPr>
      <w:r>
        <w:rPr>
          <w:rFonts w:ascii="Calibri" w:hAnsi="Calibri"/>
          <w:sz w:val="22"/>
        </w:rPr>
        <w:t>JLL knows the labor market in every major city — which subcontractors consistently perform, which consistently underperform, typical permit durations at local building departments, which inspectors are strict on which systems, and how to sequence work to minimize regulatory delay. This is tacit knowledge accumulated over decades of local presence. It is not in any database, and it cannot be entered into a document hub.</w:t>
      </w:r>
    </w:p>
    <w:p>
      <w:pPr>
        <w:spacing w:before="240" w:after="40"/>
      </w:pPr>
      <w:r>
        <w:rPr>
          <w:rFonts w:ascii="Calibri" w:hAnsi="Calibri"/>
          <w:b/>
          <w:color w:val="2D5AA0"/>
          <w:sz w:val="24"/>
        </w:rPr>
        <w:t>2.7  Regulatory Relationships and Permit Expediting.</w:t>
      </w:r>
    </w:p>
    <w:p>
      <w:pPr>
        <w:spacing w:before="0" w:after="160"/>
      </w:pPr>
      <w:r>
        <w:rPr>
          <w:rFonts w:ascii="Calibri" w:hAnsi="Calibri"/>
          <w:sz w:val="22"/>
        </w:rPr>
        <w:t>Complex projects require navigating building departments, fire marshals, health departments, ADA review, and environmental regulators. JLL has permit expediters with established relationships at relevant agencies in virtually every major market. They know when to push, when to wait, and how to frame variance requests. A software platform has no standing before a building department.</w:t>
      </w:r>
    </w:p>
    <w:p>
      <w:pPr>
        <w:spacing w:before="240" w:after="40"/>
      </w:pPr>
      <w:r>
        <w:rPr>
          <w:rFonts w:ascii="Calibri" w:hAnsi="Calibri"/>
          <w:b/>
          <w:color w:val="2D5AA0"/>
          <w:sz w:val="24"/>
        </w:rPr>
        <w:t>2.8  Proprietary Cost Benchmarking Data.</w:t>
      </w:r>
    </w:p>
    <w:p>
      <w:pPr>
        <w:spacing w:before="0" w:after="160"/>
      </w:pPr>
      <w:r>
        <w:rPr>
          <w:rFonts w:ascii="Calibri" w:hAnsi="Calibri"/>
          <w:sz w:val="22"/>
        </w:rPr>
        <w:t>JLL maintains proprietary databases of construction costs by market, asset type, building system, and trade — drawn from thousands of completed projects. When a GC submits a bid or change order, JLL can validate whether the pricing is market-appropriate. Winston has no cost database. Its budget module is a shell with no market data behind it.</w:t>
      </w:r>
    </w:p>
    <w:p>
      <w:pPr>
        <w:spacing w:before="240" w:after="40"/>
      </w:pPr>
      <w:r>
        <w:rPr>
          <w:rFonts w:ascii="Calibri" w:hAnsi="Calibri"/>
          <w:b/>
          <w:color w:val="2D5AA0"/>
          <w:sz w:val="24"/>
        </w:rPr>
        <w:t>2.9  Commissioning, Closeout, and Warranty Management.</w:t>
      </w:r>
    </w:p>
    <w:p>
      <w:pPr>
        <w:spacing w:before="0" w:after="160"/>
      </w:pPr>
      <w:r>
        <w:rPr>
          <w:rFonts w:ascii="Calibri" w:hAnsi="Calibri"/>
          <w:sz w:val="22"/>
        </w:rPr>
        <w:t>The end of a project is where value is captured or lost. Systems commissioning — verifying that HVAC, electrical, plumbing, life safety, and technology systems perform to spec — requires licensed commissioning agents and months of systematic testing. Closeout requires assembling O&amp;M manuals, as-built drawings, warranties, and training records. JLL manages this with dedicated closeout specialists. Without active management, closeout drags and warranty periods expire without exercised claims.</w:t>
      </w:r>
    </w:p>
    <w:p>
      <w:pPr>
        <w:spacing w:before="240" w:after="40"/>
      </w:pPr>
      <w:r>
        <w:rPr>
          <w:rFonts w:ascii="Calibri" w:hAnsi="Calibri"/>
          <w:b/>
          <w:color w:val="2D5AA0"/>
          <w:sz w:val="24"/>
        </w:rPr>
        <w:t>2.10  ESG and Sustainability Certification.</w:t>
      </w:r>
    </w:p>
    <w:p>
      <w:pPr>
        <w:spacing w:before="0" w:after="160"/>
      </w:pPr>
      <w:r>
        <w:rPr>
          <w:rFonts w:ascii="Calibri" w:hAnsi="Calibri"/>
          <w:sz w:val="22"/>
        </w:rPr>
        <w:t>If a project targets LEED, WELL, BREEAM, or any other certification, that process requires licensed consultants, specific documentation protocols, and ongoing coordination with the certifying body from design through occupancy. JLL has dedicated sustainability practices in each of these frameworks. A document hub and reporting module cannot substitute for a LEED AP managing submittals through construction.</w:t>
      </w:r>
    </w:p>
    <w:p>
      <w:pPr>
        <w:spacing w:before="240" w:after="40"/>
      </w:pPr>
      <w:r>
        <w:rPr>
          <w:rFonts w:ascii="Calibri" w:hAnsi="Calibri"/>
          <w:b/>
          <w:color w:val="2D5AA0"/>
          <w:sz w:val="24"/>
        </w:rPr>
        <w:t>2.11  The Platform Is Not Production-Ready.</w:t>
      </w:r>
    </w:p>
    <w:p>
      <w:pPr>
        <w:spacing w:before="0" w:after="160"/>
      </w:pPr>
      <w:r>
        <w:rPr>
          <w:rFonts w:ascii="Calibri" w:hAnsi="Calibri"/>
          <w:sz w:val="22"/>
        </w:rPr>
        <w:t>Beyond the strategic gaps above, the Winston PDS environment has concrete technical failures that prevent reliance on it for any active project today. The core workspace fails to load due to a database schema error. The AI and Team sections return 404. There is no live project data. For a project where daily schedule and budget decisions depend on accurate data visibility, this is disqualifying in its current state.</w:t>
      </w:r>
    </w:p>
    <w:p>
      <w:pPr>
        <w:spacing w:before="360" w:after="40"/>
      </w:pPr>
      <w:r>
        <w:rPr>
          <w:rFonts w:ascii="Calibri" w:hAnsi="Calibri"/>
          <w:b/>
          <w:color w:val="1E4078"/>
          <w:sz w:val="32"/>
        </w:rPr>
        <w:t>3.  Where Winston Could Add Value — Even With JLL</w:t>
      </w:r>
    </w:p>
    <w:p>
      <w:pPr>
        <w:pBdr>
          <w:bottom w:val="single" w:sz="6" w:space="1" w:color="1E4078"/>
        </w:pBdr>
        <w:spacing w:before="0" w:after="0"/>
      </w:pPr>
    </w:p>
    <w:p>
      <w:pPr>
        <w:spacing w:after="80"/>
      </w:pPr>
    </w:p>
    <w:p>
      <w:pPr>
        <w:spacing w:before="0" w:after="120"/>
      </w:pPr>
      <w:r>
        <w:rPr>
          <w:rFonts w:ascii="Calibri" w:hAnsi="Calibri"/>
          <w:sz w:val="22"/>
        </w:rPr>
        <w:t>This analysis is not a rejection of Winston as a concept. A platform with the right data, a functioning schema, and a live connection to project management outputs could serve a meaningful role alongside a JLL engagement. Functions where Winston's architecture has genuine potential:</w:t>
      </w:r>
    </w:p>
    <w:p>
      <w:pPr>
        <w:pStyle w:val="ListBullet"/>
        <w:spacing w:after="60"/>
      </w:pPr>
      <w:r>
        <w:rPr>
          <w:rFonts w:ascii="Calibri" w:hAnsi="Calibri"/>
          <w:sz w:val="22"/>
        </w:rPr>
        <w:t>Owner-side financial consolidation — AP, AR, journal entries, and reconciliation across multiple projects in one ledger, independent of the GC's accounting systems.</w:t>
      </w:r>
    </w:p>
    <w:p>
      <w:pPr>
        <w:pStyle w:val="ListBullet"/>
        <w:spacing w:after="60"/>
      </w:pPr>
      <w:r>
        <w:rPr>
          <w:rFonts w:ascii="Calibri" w:hAnsi="Calibri"/>
          <w:sz w:val="22"/>
        </w:rPr>
        <w:t>Document governance — Versioned storage with chunk-level search is genuinely useful for contracts, submittals, meeting minutes, and RFI logs if JLL is feeding it.</w:t>
      </w:r>
    </w:p>
    <w:p>
      <w:pPr>
        <w:pStyle w:val="ListBullet"/>
        <w:spacing w:after="60"/>
      </w:pPr>
      <w:r>
        <w:rPr>
          <w:rFonts w:ascii="Calibri" w:hAnsi="Calibri"/>
          <w:sz w:val="22"/>
        </w:rPr>
        <w:t>Executive reporting — If JLL populates it, the reporting and investor modules could produce consolidated portfolio views for leadership and board reporting.</w:t>
      </w:r>
    </w:p>
    <w:p>
      <w:pPr>
        <w:pStyle w:val="ListBullet"/>
        <w:spacing w:after="60"/>
      </w:pPr>
      <w:r>
        <w:rPr>
          <w:rFonts w:ascii="Calibri" w:hAnsi="Calibri"/>
          <w:sz w:val="22"/>
        </w:rPr>
        <w:t>Audit trail and command governance — The Plan → Confirm → Execute AI workflow with full audit trail is a differentiator for decisions requiring documented approval chains.</w:t>
      </w:r>
    </w:p>
    <w:p>
      <w:pPr>
        <w:pStyle w:val="ListBullet"/>
        <w:spacing w:after="60"/>
      </w:pPr>
      <w:r>
        <w:rPr>
          <w:rFonts w:ascii="Calibri" w:hAnsi="Calibri"/>
          <w:sz w:val="22"/>
        </w:rPr>
        <w:t>Portfolio-level visibility — If an organization has multiple concurrent JLL-managed projects, a platform aggregating status across all of them adds value that any single-project tool cannot.</w:t>
      </w:r>
    </w:p>
    <w:p>
      <w:pPr>
        <w:spacing w:after="80"/>
      </w:pPr>
    </w:p>
    <w:p>
      <w:pPr>
        <w:spacing w:before="0" w:after="120"/>
      </w:pPr>
      <w:r>
        <w:rPr>
          <w:rFonts w:ascii="Calibri" w:hAnsi="Calibri"/>
          <w:i/>
          <w:color w:val="325082"/>
          <w:sz w:val="22"/>
        </w:rPr>
        <w:t>The relationship that makes sense: JLL manages the project in the field with their people, processes, and accountability structures. Winston serves as the owner's intelligence layer — aggregating, organizing, and governing the data that JLL and other parties produce. That is a meaningful role, but it requires Winston to be fully operational first.</w:t>
      </w:r>
    </w:p>
    <w:p>
      <w:pPr>
        <w:spacing w:after="160"/>
      </w:pPr>
    </w:p>
    <w:p>
      <w:pPr>
        <w:spacing w:before="360" w:after="40"/>
      </w:pPr>
      <w:r>
        <w:rPr>
          <w:rFonts w:ascii="Calibri" w:hAnsi="Calibri"/>
          <w:b/>
          <w:color w:val="1E4078"/>
          <w:sz w:val="32"/>
        </w:rPr>
        <w:t>4.  What Winston Would Need to Close the Gap</w:t>
      </w:r>
    </w:p>
    <w:p>
      <w:pPr>
        <w:pBdr>
          <w:bottom w:val="single" w:sz="6" w:space="1" w:color="1E4078"/>
        </w:pBdr>
        <w:spacing w:before="0" w:after="0"/>
      </w:pPr>
    </w:p>
    <w:p>
      <w:pPr>
        <w:spacing w:after="80"/>
      </w:pPr>
    </w:p>
    <w:p>
      <w:pPr>
        <w:spacing w:before="160" w:after="40"/>
      </w:pPr>
      <w:r>
        <w:rPr>
          <w:rFonts w:ascii="Calibri" w:hAnsi="Calibri"/>
          <w:b/>
          <w:color w:val="3C3C3C"/>
          <w:sz w:val="22"/>
        </w:rPr>
        <w:t>Immediate (Platform Stability)</w:t>
      </w:r>
    </w:p>
    <w:p>
      <w:pPr>
        <w:pStyle w:val="ListBullet"/>
        <w:spacing w:after="60"/>
      </w:pPr>
      <w:r>
        <w:rPr>
          <w:rFonts w:ascii="Calibri" w:hAnsi="Calibri"/>
          <w:sz w:val="22"/>
        </w:rPr>
        <w:t>Fix the industry_type schema migration — the core PDS workspace is inaccessible</w:t>
      </w:r>
    </w:p>
    <w:p>
      <w:pPr>
        <w:pStyle w:val="ListBullet"/>
        <w:spacing w:after="60"/>
      </w:pPr>
      <w:r>
        <w:rPr>
          <w:rFonts w:ascii="Calibri" w:hAnsi="Calibri"/>
          <w:sz w:val="22"/>
        </w:rPr>
        <w:t>Build out or remove the 404 routes (AI, Team sections)</w:t>
      </w:r>
    </w:p>
    <w:p>
      <w:pPr>
        <w:pStyle w:val="ListBullet"/>
        <w:spacing w:after="60"/>
      </w:pPr>
      <w:r>
        <w:rPr>
          <w:rFonts w:ascii="Calibri" w:hAnsi="Calibri"/>
          <w:sz w:val="22"/>
        </w:rPr>
        <w:t>Seed realistic project data so the platform can be evaluated on actual functionality</w:t>
      </w:r>
    </w:p>
    <w:p>
      <w:pPr>
        <w:pStyle w:val="ListBullet"/>
        <w:spacing w:after="60"/>
      </w:pPr>
      <w:r>
        <w:rPr>
          <w:rFonts w:ascii="Calibri" w:hAnsi="Calibri"/>
          <w:sz w:val="22"/>
        </w:rPr>
        <w:t>Make Gantt, Milestones, and Budget modules functional with working data models</w:t>
      </w:r>
    </w:p>
    <w:p>
      <w:pPr>
        <w:spacing w:after="40"/>
      </w:pPr>
    </w:p>
    <w:p>
      <w:pPr>
        <w:spacing w:before="160" w:after="40"/>
      </w:pPr>
      <w:r>
        <w:rPr>
          <w:rFonts w:ascii="Calibri" w:hAnsi="Calibri"/>
          <w:b/>
          <w:color w:val="3C3C3C"/>
          <w:sz w:val="22"/>
        </w:rPr>
        <w:t>Near-Term (Product Completeness)</w:t>
      </w:r>
    </w:p>
    <w:p>
      <w:pPr>
        <w:pStyle w:val="ListBullet"/>
        <w:spacing w:after="60"/>
      </w:pPr>
      <w:r>
        <w:rPr>
          <w:rFonts w:ascii="Calibri" w:hAnsi="Calibri"/>
          <w:sz w:val="22"/>
        </w:rPr>
        <w:t>Construction cost benchmarking database by market, asset type, and trade</w:t>
      </w:r>
    </w:p>
    <w:p>
      <w:pPr>
        <w:pStyle w:val="ListBullet"/>
        <w:spacing w:after="60"/>
      </w:pPr>
      <w:r>
        <w:rPr>
          <w:rFonts w:ascii="Calibri" w:hAnsi="Calibri"/>
          <w:sz w:val="22"/>
        </w:rPr>
        <w:t>Change order review workflow with structured approval and dispute tracking</w:t>
      </w:r>
    </w:p>
    <w:p>
      <w:pPr>
        <w:pStyle w:val="ListBullet"/>
        <w:spacing w:after="60"/>
      </w:pPr>
      <w:r>
        <w:rPr>
          <w:rFonts w:ascii="Calibri" w:hAnsi="Calibri"/>
          <w:sz w:val="22"/>
        </w:rPr>
        <w:t>Submittal log and RFI management with numbered registers and response tracking</w:t>
      </w:r>
    </w:p>
    <w:p>
      <w:pPr>
        <w:pStyle w:val="ListBullet"/>
        <w:spacing w:after="60"/>
      </w:pPr>
      <w:r>
        <w:rPr>
          <w:rFonts w:ascii="Calibri" w:hAnsi="Calibri"/>
          <w:sz w:val="22"/>
        </w:rPr>
        <w:t>Draw / pay application review workflow tied to schedule of values</w:t>
      </w:r>
    </w:p>
    <w:p>
      <w:pPr>
        <w:pStyle w:val="ListBullet"/>
        <w:spacing w:after="60"/>
      </w:pPr>
      <w:r>
        <w:rPr>
          <w:rFonts w:ascii="Calibri" w:hAnsi="Calibri"/>
          <w:sz w:val="22"/>
        </w:rPr>
        <w:t>Contractor prequalification and bid leveling module</w:t>
      </w:r>
    </w:p>
    <w:p>
      <w:pPr>
        <w:spacing w:after="40"/>
      </w:pPr>
    </w:p>
    <w:p>
      <w:pPr>
        <w:spacing w:before="160" w:after="40"/>
      </w:pPr>
      <w:r>
        <w:rPr>
          <w:rFonts w:ascii="Calibri" w:hAnsi="Calibri"/>
          <w:b/>
          <w:color w:val="3C3C3C"/>
          <w:sz w:val="22"/>
        </w:rPr>
        <w:t>Strategic (Differentiated Value)</w:t>
      </w:r>
    </w:p>
    <w:p>
      <w:pPr>
        <w:pStyle w:val="ListBullet"/>
        <w:spacing w:after="60"/>
      </w:pPr>
      <w:r>
        <w:rPr>
          <w:rFonts w:ascii="Calibri" w:hAnsi="Calibri"/>
          <w:sz w:val="22"/>
        </w:rPr>
        <w:t>Integration with Procore, e-Builder, or Autodesk Construction Cloud to ingest live field data</w:t>
      </w:r>
    </w:p>
    <w:p>
      <w:pPr>
        <w:pStyle w:val="ListBullet"/>
        <w:spacing w:after="60"/>
      </w:pPr>
      <w:r>
        <w:rPr>
          <w:rFonts w:ascii="Calibri" w:hAnsi="Calibri"/>
          <w:sz w:val="22"/>
        </w:rPr>
        <w:t>Licensed professional network or marketplace for owner's rep services</w:t>
      </w:r>
    </w:p>
    <w:p>
      <w:pPr>
        <w:pStyle w:val="ListBullet"/>
        <w:spacing w:after="60"/>
      </w:pPr>
      <w:r>
        <w:rPr>
          <w:rFonts w:ascii="Calibri" w:hAnsi="Calibri"/>
          <w:sz w:val="22"/>
        </w:rPr>
        <w:t>Regulatory permit tracking with jurisdiction-specific timelines and AHJ contacts</w:t>
      </w:r>
    </w:p>
    <w:p>
      <w:pPr>
        <w:pStyle w:val="ListBullet"/>
        <w:spacing w:after="60"/>
      </w:pPr>
      <w:r>
        <w:rPr>
          <w:rFonts w:ascii="Calibri" w:hAnsi="Calibri"/>
          <w:sz w:val="22"/>
        </w:rPr>
        <w:t>Commissioning and closeout checklist with warranty register and expiration tracking</w:t>
      </w:r>
    </w:p>
    <w:p>
      <w:pPr>
        <w:pStyle w:val="ListBullet"/>
        <w:spacing w:after="60"/>
      </w:pPr>
      <w:r>
        <w:rPr>
          <w:rFonts w:ascii="Calibri" w:hAnsi="Calibri"/>
          <w:sz w:val="22"/>
        </w:rPr>
        <w:t>ESG / LEED certification tracking integrated into project documentation workflow</w:t>
      </w:r>
    </w:p>
    <w:p>
      <w:pPr>
        <w:spacing w:after="40"/>
      </w:pPr>
    </w:p>
    <w:p>
      <w:pPr>
        <w:spacing w:after="80"/>
      </w:pPr>
    </w:p>
    <w:p>
      <w:pPr>
        <w:spacing w:before="360" w:after="40"/>
      </w:pPr>
      <w:r>
        <w:rPr>
          <w:rFonts w:ascii="Calibri" w:hAnsi="Calibri"/>
          <w:b/>
          <w:color w:val="1E4078"/>
          <w:sz w:val="32"/>
        </w:rPr>
        <w:t>5.  Recommendation</w:t>
      </w:r>
    </w:p>
    <w:p>
      <w:pPr>
        <w:pBdr>
          <w:bottom w:val="single" w:sz="6" w:space="1" w:color="1E4078"/>
        </w:pBdr>
        <w:spacing w:before="0" w:after="0"/>
      </w:pPr>
    </w:p>
    <w:p>
      <w:pPr>
        <w:spacing w:after="80"/>
      </w:pPr>
    </w:p>
    <w:p>
      <w:pPr>
        <w:spacing w:before="0" w:after="120"/>
      </w:pPr>
      <w:r>
        <w:rPr>
          <w:rFonts w:ascii="Calibri" w:hAnsi="Calibri"/>
          <w:sz w:val="22"/>
        </w:rPr>
        <w:t>For any capital project above $5M in construction value, or any project with regulatory complexity, multi-trade coordination, or meaningful schedule risk, we recommend engaging JLL Project &amp; Development Services as owner's representative and program manager. The combination of licensed professional accountability, on-site presence, contractor leverage, and local market knowledge is not replicable by a software platform at any stage of development.</w:t>
      </w:r>
    </w:p>
    <w:p>
      <w:pPr>
        <w:spacing w:before="0" w:after="120"/>
      </w:pPr>
      <w:r>
        <w:rPr>
          <w:rFonts w:ascii="Calibri" w:hAnsi="Calibri"/>
          <w:sz w:val="22"/>
        </w:rPr>
        <w:t>We recommend monitoring Winston PDS as a potential owner-side intelligence layer and re-evaluating once the platform stability issues are resolved and core project modules contain live data that can be assessed against real workflows. The document governance, audit trail, and AI command center features are worth watching — they represent a genuinely differentiated approach to owner-side governance that JLL's tools do not replicate.</w:t>
      </w:r>
    </w:p>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BF0FA"/>
          </w:tcPr>
          <w:p>
            <w:pPr>
              <w:spacing w:before="120" w:after="120"/>
              <w:ind w:left="144"/>
            </w:pPr>
            <w:r>
              <w:rPr>
                <w:rFonts w:ascii="Calibri" w:hAnsi="Calibri"/>
                <w:b/>
                <w:color w:val="1E4078"/>
                <w:sz w:val="22"/>
              </w:rPr>
              <w:t xml:space="preserve">Bottom Line:  </w:t>
            </w:r>
            <w:r>
              <w:rPr>
                <w:rFonts w:ascii="Calibri" w:hAnsi="Calibri"/>
                <w:color w:val="282828"/>
                <w:sz w:val="22"/>
              </w:rPr>
              <w:t>JLL brings people, licenses, relationships, and liability. Winston brings a dashboard. On a real project with real money at risk, those are not equivalent and the decision is not close. Engage JLL. Watch Winston mature.</w:t>
            </w:r>
          </w:p>
        </w:tc>
      </w:tr>
    </w:tbl>
    <w:p>
      <w:pPr>
        <w:spacing w:after="200"/>
      </w:pPr>
    </w:p>
    <w:p>
      <w:r>
        <w:rPr>
          <w:rFonts w:ascii="Calibri" w:hAnsi="Calibri"/>
          <w:i/>
          <w:color w:val="8C8C8C"/>
          <w:sz w:val="17"/>
        </w:rPr>
        <w:t>This analysis reflects observations of the Winston StonePDS environment as of March 2026 and publicly available information about JLL's Project &amp; Development Services practice.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