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4"/>
          <w:szCs w:val="44"/>
        </w:rPr>
        <w:t xml:space="preserve">ENVIRONMENTAL INDEMNITY AGREEMENT</w:t>
      </w:r>
    </w:p>
    <w:p>
      <w:pPr>
        <w:spacing w:after="480" w:before="0"/>
        <w:jc w:val="center"/>
      </w:pPr>
      <w:r>
        <w:rPr>
          <w:rFonts w:ascii="Arial" w:cs="Arial" w:eastAsia="Arial" w:hAnsi="Arial"/>
          <w:color w:val="555555"/>
          <w:sz w:val="22"/>
          <w:szCs w:val="22"/>
        </w:rPr>
        <w:t xml:space="preserve">Cascade Ridge Apartments — March 15,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Indemnitors: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 (Borrower); Meridian Capital Group LLC; James T. Harrington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Indemnitee (Lender):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4200 Cascade Ridge Drive, Aurora, CO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I ESA: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by EnviroCheck Environmental Services, dated January 18, 2024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I Conclusion: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RECs identified; minor residual concerns from historical agricultural use resolved per state file closure 2019</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ENVIRONMENTAL INDEMNITY AGREEMENT</w:t>
      </w:r>
    </w:p>
    <w:p>
      <w:pPr>
        <w:spacing w:after="80" w:before="80"/>
        <w:ind/>
      </w:pPr>
      <w:r>
        <w:rPr>
          <w:rFonts w:ascii="Arial" w:cs="Arial" w:eastAsia="Arial" w:hAnsi="Arial"/>
          <w:sz w:val="20"/>
          <w:szCs w:val="20"/>
        </w:rPr>
        <w:t xml:space="preserve">THIS ENVIRONMENTAL INDEMNITY AGREEMENT (this "Agreement") is entered into as of March 15, 2024, by and among MERIDIAN CAPITAL HOLDINGS IV LLC, a Delaware limited liability company ("Borrower"), MERIDIAN CAPITAL GROUP LLC, a Delaware limited liability company, and JAMES T. HARRINGTON, an individual (collectively with Borrower, "Indemnitors"), in favor of HARTWELL CAPITAL PARTNERS LLC, a Delaware limited liability company, and its successors, assigns, members, managers, employees, agents, and representatives (collectively, "Indemnitee").</w:t>
      </w:r>
    </w:p>
    <w:p>
      <w:pPr>
        <w:pStyle w:val="Heading2"/>
        <w:spacing w:after="80" w:before="240"/>
      </w:pPr>
      <w:r>
        <w:rPr>
          <w:rFonts w:ascii="Arial" w:cs="Arial" w:eastAsia="Arial" w:hAnsi="Arial"/>
          <w:b/>
          <w:bCs/>
          <w:sz w:val="24"/>
          <w:szCs w:val="24"/>
        </w:rPr>
        <w:t xml:space="preserve">1. DEFINED TERMS</w:t>
      </w:r>
    </w:p>
    <w:p>
      <w:pPr>
        <w:spacing w:after="80" w:before="80"/>
        <w:ind/>
      </w:pPr>
      <w:r>
        <w:rPr>
          <w:rFonts w:ascii="Arial" w:cs="Arial" w:eastAsia="Arial" w:hAnsi="Arial"/>
          <w:sz w:val="20"/>
          <w:szCs w:val="20"/>
        </w:rPr>
        <w:t xml:space="preserve">"Claim" means any demand, action, cause of action, suit, claim, proceeding, investigation, order, decree, injunction, or notice.</w:t>
      </w:r>
    </w:p>
    <w:p>
      <w:pPr>
        <w:spacing w:after="80" w:before="80"/>
        <w:ind/>
      </w:pPr>
      <w:r>
        <w:rPr>
          <w:rFonts w:ascii="Arial" w:cs="Arial" w:eastAsia="Arial" w:hAnsi="Arial"/>
          <w:sz w:val="20"/>
          <w:szCs w:val="20"/>
        </w:rPr>
        <w:t xml:space="preserve">"Environmental Laws" means any and all federal, state, and local laws, ordinances, rules, regulations, orders, and common law doctrines now or hereafter in force relating to the protection of the environment, public health, or safety, including without limitation: the Comprehensive Environmental Response, Compensation, and Liability Act (CERCLA/Superfund), 42 U.S.C. Section 9601 et seq.; the Resource Conservation and Recovery Act (RCRA), 42 U.S.C. Section 6901 et seq.; the Clean Water Act, 33 U.S.C. Section 1251 et seq.; the Clean Air Act, 42 U.S.C. Section 7401 et seq.; the Toxic Substances Control Act (TSCA), 15 U.S.C. Section 2601 et seq.; the Colorado Hazardous Waste Act; and any analogous state and local laws, as each may be amended.</w:t>
      </w:r>
    </w:p>
    <w:p>
      <w:pPr>
        <w:spacing w:after="80" w:before="80"/>
        <w:ind/>
      </w:pPr>
      <w:r>
        <w:rPr>
          <w:rFonts w:ascii="Arial" w:cs="Arial" w:eastAsia="Arial" w:hAnsi="Arial"/>
          <w:sz w:val="20"/>
          <w:szCs w:val="20"/>
        </w:rPr>
        <w:t xml:space="preserve">"Hazardous Materials" means any substance, chemical, compound, or material that: (i) is a "hazardous substance" or "pollutant or contaminant" under CERCLA; (ii) is a "hazardous waste" under RCRA; (iii) is regulated as a hazardous, toxic, or radioactive material under any Environmental Law; (iv) is petroleum, petroleum products, or any fraction thereof; (v) is asbestos or asbestos-containing materials; (vi) is lead-based paint or lead-based paint dust; (vii) is polychlorinated biphenyls (PCBs); or (viii) causes or threatens to cause an adverse effect on the environment, public health, or safety.</w:t>
      </w:r>
    </w:p>
    <w:p>
      <w:pPr>
        <w:spacing w:after="80" w:before="80"/>
        <w:ind/>
      </w:pPr>
      <w:r>
        <w:rPr>
          <w:rFonts w:ascii="Arial" w:cs="Arial" w:eastAsia="Arial" w:hAnsi="Arial"/>
          <w:sz w:val="20"/>
          <w:szCs w:val="20"/>
        </w:rPr>
        <w:t xml:space="preserve">"Losses" means any and all losses, damages, costs, expenses, liabilities, penalties, fines, claims, demands, judgments, settlements, remediation costs, investigation costs, monitoring costs, cleanup costs, and reasonable attorneys' fees and court costs.</w:t>
      </w:r>
    </w:p>
    <w:p>
      <w:pPr>
        <w:spacing w:after="80" w:before="80"/>
        <w:ind/>
      </w:pPr>
      <w:r>
        <w:rPr>
          <w:rFonts w:ascii="Arial" w:cs="Arial" w:eastAsia="Arial" w:hAnsi="Arial"/>
          <w:sz w:val="20"/>
          <w:szCs w:val="20"/>
        </w:rPr>
        <w:t xml:space="preserve">"Property" means the real property and improvements thereon located at 4200 Cascade Ridge Drive, Aurora, Colorado 80011, as more particularly described in Exhibit A to the Deed of Trust.</w:t>
      </w:r>
    </w:p>
    <w:p>
      <w:pPr>
        <w:spacing w:after="80" w:before="80"/>
        <w:ind/>
      </w:pPr>
      <w:r>
        <w:rPr>
          <w:rFonts w:ascii="Arial" w:cs="Arial" w:eastAsia="Arial" w:hAnsi="Arial"/>
          <w:sz w:val="20"/>
          <w:szCs w:val="20"/>
        </w:rPr>
        <w:t xml:space="preserve">"Release" means any spilling, leaking, pumping, pouring, emitting, emptying, discharging, injecting, escaping, leaching, dumping, or disposing of any Hazardous Material into or upon the environment, including the air, land surface, subsurface, or water.</w:t>
      </w:r>
    </w:p>
    <w:p>
      <w:pPr>
        <w:pStyle w:val="Heading2"/>
        <w:spacing w:after="80" w:before="240"/>
      </w:pPr>
      <w:r>
        <w:rPr>
          <w:rFonts w:ascii="Arial" w:cs="Arial" w:eastAsia="Arial" w:hAnsi="Arial"/>
          <w:b/>
          <w:bCs/>
          <w:sz w:val="24"/>
          <w:szCs w:val="24"/>
        </w:rPr>
        <w:t xml:space="preserve">2. ENVIRONMENTAL REPRESENTATIONS AND WARRANTIES</w:t>
      </w:r>
    </w:p>
    <w:p>
      <w:pPr>
        <w:spacing w:after="80" w:before="80"/>
        <w:ind/>
      </w:pPr>
      <w:r>
        <w:rPr>
          <w:rFonts w:ascii="Arial" w:cs="Arial" w:eastAsia="Arial" w:hAnsi="Arial"/>
          <w:sz w:val="20"/>
          <w:szCs w:val="20"/>
        </w:rPr>
        <w:t xml:space="preserve">Indemnitors, jointly and severally, represent and warrant to Indemnitee as of the date hereof and as of each date on which the Loan remains outstanding:</w:t>
      </w:r>
    </w:p>
    <w:p>
      <w:pPr>
        <w:spacing w:after="80" w:before="80"/>
        <w:ind/>
      </w:pPr>
      <w:r>
        <w:rPr>
          <w:rFonts w:ascii="Arial" w:cs="Arial" w:eastAsia="Arial" w:hAnsi="Arial"/>
          <w:sz w:val="20"/>
          <w:szCs w:val="20"/>
        </w:rPr>
        <w:t xml:space="preserve">2.1  Compliance. To Indemnitors' actual knowledge, the Property is currently in compliance with all applicable Environmental Laws. No violation of any Environmental Law is pending or, to Indemnitors' actual knowledge, threatened with respect to the Property.</w:t>
      </w:r>
    </w:p>
    <w:p>
      <w:pPr>
        <w:spacing w:after="80" w:before="80"/>
        <w:ind/>
      </w:pPr>
      <w:r>
        <w:rPr>
          <w:rFonts w:ascii="Arial" w:cs="Arial" w:eastAsia="Arial" w:hAnsi="Arial"/>
          <w:sz w:val="20"/>
          <w:szCs w:val="20"/>
        </w:rPr>
        <w:t xml:space="preserve">2.2  Hazardous Materials. To Indemnitors' actual knowledge, no Hazardous Materials are located on, in, under, or emanating from the Property except (i) those used in the ordinary course of property management and maintenance in commercially reasonable quantities and in compliance with all applicable Environmental Laws, and (ii) those identified in the Phase I Environmental Site Assessment prepared by EnviroCheck Environmental Services dated January 18, 2024 (the "Phase I ESA"), copies of which have been delivered to Indemnitee.</w:t>
      </w:r>
    </w:p>
    <w:p>
      <w:pPr>
        <w:spacing w:after="80" w:before="80"/>
        <w:ind/>
      </w:pPr>
      <w:r>
        <w:rPr>
          <w:rFonts w:ascii="Arial" w:cs="Arial" w:eastAsia="Arial" w:hAnsi="Arial"/>
          <w:sz w:val="20"/>
          <w:szCs w:val="20"/>
        </w:rPr>
        <w:t xml:space="preserve">2.3  Phase I ESA. The Phase I ESA identified no recognized environmental conditions (RECs) at the Property. The report noted minor residual concerns from historical agricultural use in the area prior to development, but such concerns were resolved pursuant to a state voluntary cleanup program file closure dated April 12, 2019 (Colorado Department of Public Health and Environment File No. 2015-VCP-0834).</w:t>
      </w:r>
    </w:p>
    <w:p>
      <w:pPr>
        <w:spacing w:after="80" w:before="80"/>
        <w:ind/>
      </w:pPr>
      <w:r>
        <w:rPr>
          <w:rFonts w:ascii="Arial" w:cs="Arial" w:eastAsia="Arial" w:hAnsi="Arial"/>
          <w:sz w:val="20"/>
          <w:szCs w:val="20"/>
        </w:rPr>
        <w:t xml:space="preserve">2.4  No Enforcement Actions. There are no pending or, to Indemnitors' actual knowledge, threatened environmental enforcement actions, investigations, Claims, or cleanup orders affecting the Property. The Property is not listed or, to Indemnitors' actual knowledge, proposed for listing on any governmental environmental cleanup list, including CERCLA's National Priorities List or Colorado's Voluntary Cleanup and Redevelopment Act list.</w:t>
      </w:r>
    </w:p>
    <w:p>
      <w:pPr>
        <w:spacing w:after="80" w:before="80"/>
        <w:ind/>
      </w:pPr>
      <w:r>
        <w:rPr>
          <w:rFonts w:ascii="Arial" w:cs="Arial" w:eastAsia="Arial" w:hAnsi="Arial"/>
          <w:sz w:val="20"/>
          <w:szCs w:val="20"/>
        </w:rPr>
        <w:t xml:space="preserve">2.5  Underground Storage Tanks. To Indemnitors' actual knowledge, there are no underground storage tanks, aboveground storage tanks, or drum storage areas at the Property other than a 500-gallon propane tank serving the common area grill, which is registered with the Arapahoe County Fire Department in compliance with applicable regulations.</w:t>
      </w:r>
    </w:p>
    <w:p>
      <w:pPr>
        <w:spacing w:after="80" w:before="80"/>
        <w:ind/>
      </w:pPr>
      <w:r>
        <w:rPr>
          <w:rFonts w:ascii="Arial" w:cs="Arial" w:eastAsia="Arial" w:hAnsi="Arial"/>
          <w:sz w:val="20"/>
          <w:szCs w:val="20"/>
        </w:rPr>
        <w:t xml:space="preserve">2.6  Lead and Asbestos. The Property was constructed between 2005 and 2007. No asbestos-containing materials (ACM) or lead-based paint are present at the Property, as confirmed by the Phase I ESA.</w:t>
      </w:r>
    </w:p>
    <w:p>
      <w:pPr>
        <w:pStyle w:val="Heading2"/>
        <w:spacing w:after="80" w:before="240"/>
      </w:pPr>
      <w:r>
        <w:rPr>
          <w:rFonts w:ascii="Arial" w:cs="Arial" w:eastAsia="Arial" w:hAnsi="Arial"/>
          <w:b/>
          <w:bCs/>
          <w:sz w:val="24"/>
          <w:szCs w:val="24"/>
        </w:rPr>
        <w:t xml:space="preserve">3. ENVIRONMENTAL COVENANTS</w:t>
      </w:r>
    </w:p>
    <w:p>
      <w:pPr>
        <w:spacing w:after="80" w:before="80"/>
        <w:ind/>
      </w:pPr>
      <w:r>
        <w:rPr>
          <w:rFonts w:ascii="Arial" w:cs="Arial" w:eastAsia="Arial" w:hAnsi="Arial"/>
          <w:sz w:val="20"/>
          <w:szCs w:val="20"/>
        </w:rPr>
        <w:t xml:space="preserve">3.1  Prohibition on Releases. Indemnitors shall not cause or permit any Release of Hazardous Materials at the Property, except as expressly permitted under applicable Environmental Laws.</w:t>
      </w:r>
    </w:p>
    <w:p>
      <w:pPr>
        <w:spacing w:after="80" w:before="80"/>
        <w:ind/>
      </w:pPr>
      <w:r>
        <w:rPr>
          <w:rFonts w:ascii="Arial" w:cs="Arial" w:eastAsia="Arial" w:hAnsi="Arial"/>
          <w:sz w:val="20"/>
          <w:szCs w:val="20"/>
        </w:rPr>
        <w:t xml:space="preserve">3.2  Compliance. Indemnitors shall comply with all applicable Environmental Laws with respect to the Property, including obtaining and maintaining all required environmental permits and licenses.</w:t>
      </w:r>
    </w:p>
    <w:p>
      <w:pPr>
        <w:spacing w:after="80" w:before="80"/>
        <w:ind/>
      </w:pPr>
      <w:r>
        <w:rPr>
          <w:rFonts w:ascii="Arial" w:cs="Arial" w:eastAsia="Arial" w:hAnsi="Arial"/>
          <w:sz w:val="20"/>
          <w:szCs w:val="20"/>
        </w:rPr>
        <w:t xml:space="preserve">3.3  Notice of Release. Indemnitors shall promptly (but in no event more than 48 hours after discovery) notify Indemnitee in writing upon obtaining knowledge of any actual or threatened Release of Hazardous Materials at or near the Property that would require remediation, reporting, or other action under applicable Environmental Laws.</w:t>
      </w:r>
    </w:p>
    <w:p>
      <w:pPr>
        <w:spacing w:after="80" w:before="80"/>
        <w:ind/>
      </w:pPr>
      <w:r>
        <w:rPr>
          <w:rFonts w:ascii="Arial" w:cs="Arial" w:eastAsia="Arial" w:hAnsi="Arial"/>
          <w:sz w:val="20"/>
          <w:szCs w:val="20"/>
        </w:rPr>
        <w:t xml:space="preserve">3.4  Remediation. If any Release of Hazardous Materials occurs at the Property, Indemnitors shall promptly take all actions necessary to investigate and remediate such Release to the satisfaction of Indemnitee and in compliance with all applicable Environmental Laws.</w:t>
      </w:r>
    </w:p>
    <w:p>
      <w:pPr>
        <w:spacing w:after="80" w:before="80"/>
        <w:ind/>
      </w:pPr>
      <w:r>
        <w:rPr>
          <w:rFonts w:ascii="Arial" w:cs="Arial" w:eastAsia="Arial" w:hAnsi="Arial"/>
          <w:sz w:val="20"/>
          <w:szCs w:val="20"/>
        </w:rPr>
        <w:t xml:space="preserve">3.5  Environmental Inspections. Indemnitee shall have the right, at any time upon reasonable prior written notice (except in the case of emergency), to conduct or cause to be conducted, at Indemnitee's expense (unless an Event of Default has occurred and is continuing or an environmental condition has been discovered), environmental investigations and inspections of the Property.</w:t>
      </w:r>
    </w:p>
    <w:p>
      <w:pPr>
        <w:pStyle w:val="Heading2"/>
        <w:spacing w:after="80" w:before="240"/>
      </w:pPr>
      <w:r>
        <w:rPr>
          <w:rFonts w:ascii="Arial" w:cs="Arial" w:eastAsia="Arial" w:hAnsi="Arial"/>
          <w:b/>
          <w:bCs/>
          <w:sz w:val="24"/>
          <w:szCs w:val="24"/>
        </w:rPr>
        <w:t xml:space="preserve">4. INDEMNIFICATION</w:t>
      </w:r>
    </w:p>
    <w:p>
      <w:pPr>
        <w:spacing w:after="80" w:before="80"/>
        <w:ind/>
      </w:pPr>
      <w:r>
        <w:rPr>
          <w:rFonts w:ascii="Arial" w:cs="Arial" w:eastAsia="Arial" w:hAnsi="Arial"/>
          <w:sz w:val="20"/>
          <w:szCs w:val="20"/>
        </w:rPr>
        <w:t xml:space="preserve">4.1  Indemnification Obligation. Indemnitors, jointly and severally and on a full recourse basis (notwithstanding any non-recourse provisions in other Loan Documents), shall indemnify, defend, and hold harmless each Indemnitee from and against any and all Losses arising from or related to:</w:t>
      </w:r>
    </w:p>
    <w:p>
      <w:pPr>
        <w:spacing w:after="80" w:before="80"/>
        <w:ind w:left="720"/>
      </w:pPr>
      <w:r>
        <w:rPr>
          <w:rFonts w:ascii="Arial" w:cs="Arial" w:eastAsia="Arial" w:hAnsi="Arial"/>
          <w:sz w:val="20"/>
          <w:szCs w:val="20"/>
        </w:rPr>
        <w:t xml:space="preserve">(a)  Any violation or alleged violation of any Environmental Law with respect to the Property, occurring at any time during Borrower's ownership of the Property;</w:t>
      </w:r>
    </w:p>
    <w:p>
      <w:pPr>
        <w:spacing w:after="80" w:before="80"/>
        <w:ind w:left="720"/>
      </w:pPr>
      <w:r>
        <w:rPr>
          <w:rFonts w:ascii="Arial" w:cs="Arial" w:eastAsia="Arial" w:hAnsi="Arial"/>
          <w:sz w:val="20"/>
          <w:szCs w:val="20"/>
        </w:rPr>
        <w:t xml:space="preserve">(b)  Any Release of Hazardous Materials at, on, under, or from the Property, regardless of whether caused by Indemnitors, occurring at any time during Borrower's ownership;</w:t>
      </w:r>
    </w:p>
    <w:p>
      <w:pPr>
        <w:spacing w:after="80" w:before="80"/>
        <w:ind w:left="720"/>
      </w:pPr>
      <w:r>
        <w:rPr>
          <w:rFonts w:ascii="Arial" w:cs="Arial" w:eastAsia="Arial" w:hAnsi="Arial"/>
          <w:sz w:val="20"/>
          <w:szCs w:val="20"/>
        </w:rPr>
        <w:t xml:space="preserve">(c)  Any governmental or third-party Claims relating to environmental conditions at the Property;</w:t>
      </w:r>
    </w:p>
    <w:p>
      <w:pPr>
        <w:spacing w:after="80" w:before="80"/>
        <w:ind w:left="720"/>
      </w:pPr>
      <w:r>
        <w:rPr>
          <w:rFonts w:ascii="Arial" w:cs="Arial" w:eastAsia="Arial" w:hAnsi="Arial"/>
          <w:sz w:val="20"/>
          <w:szCs w:val="20"/>
        </w:rPr>
        <w:t xml:space="preserve">(d)  Any costs incurred by Indemnitee to investigate, assess, monitor, or remediate any environmental condition at the Property;</w:t>
      </w:r>
    </w:p>
    <w:p>
      <w:pPr>
        <w:spacing w:after="80" w:before="80"/>
        <w:ind w:left="720"/>
      </w:pPr>
      <w:r>
        <w:rPr>
          <w:rFonts w:ascii="Arial" w:cs="Arial" w:eastAsia="Arial" w:hAnsi="Arial"/>
          <w:sz w:val="20"/>
          <w:szCs w:val="20"/>
        </w:rPr>
        <w:t xml:space="preserve">(e)  Any diminution in value of the Property or collateral resulting from environmental conditions; and</w:t>
      </w:r>
    </w:p>
    <w:p>
      <w:pPr>
        <w:spacing w:after="80" w:before="80"/>
        <w:ind w:left="720"/>
      </w:pPr>
      <w:r>
        <w:rPr>
          <w:rFonts w:ascii="Arial" w:cs="Arial" w:eastAsia="Arial" w:hAnsi="Arial"/>
          <w:sz w:val="20"/>
          <w:szCs w:val="20"/>
        </w:rPr>
        <w:t xml:space="preserve">(f)  Any breach of any environmental representation, warranty, or covenant made by Indemnitors herein.</w:t>
      </w:r>
    </w:p>
    <w:p>
      <w:pPr>
        <w:spacing w:after="80" w:before="80"/>
        <w:ind/>
      </w:pPr>
      <w:r>
        <w:rPr>
          <w:rFonts w:ascii="Arial" w:cs="Arial" w:eastAsia="Arial" w:hAnsi="Arial"/>
          <w:sz w:val="20"/>
          <w:szCs w:val="20"/>
        </w:rPr>
        <w:t xml:space="preserve">4.2  No Limitation by Insurance. The indemnification obligations herein shall not be limited to the amount of any insurance proceeds, the amount of the Loan, or any other amount.</w:t>
      </w:r>
    </w:p>
    <w:p>
      <w:pPr>
        <w:spacing w:after="80" w:before="80"/>
        <w:ind/>
      </w:pPr>
      <w:r>
        <w:rPr>
          <w:rFonts w:ascii="Arial" w:cs="Arial" w:eastAsia="Arial" w:hAnsi="Arial"/>
          <w:sz w:val="20"/>
          <w:szCs w:val="20"/>
        </w:rPr>
        <w:t xml:space="preserve">4.3  Survival. The indemnification obligations in this Agreement shall survive the payoff, satisfaction, or release of the Loan and the release of the Deed of Trust, and shall be binding upon the successors and assigns of Indemnitors.</w:t>
      </w:r>
    </w:p>
    <w:p>
      <w:pPr>
        <w:spacing w:after="80" w:before="80"/>
        <w:ind/>
      </w:pPr>
      <w:r>
        <w:rPr>
          <w:rFonts w:ascii="Arial" w:cs="Arial" w:eastAsia="Arial" w:hAnsi="Arial"/>
          <w:sz w:val="20"/>
          <w:szCs w:val="20"/>
        </w:rPr>
        <w:t xml:space="preserve">4.4  Defense. Indemnitors shall defend Indemnitee (with counsel reasonably acceptable to Indemnitee) against any Claim for which indemnification is provided hereunder, or at Indemnitee's election, Indemnitee may defend such Claim and Indemnitors shall reimburse all reasonable costs and attorneys' fees incurred in connection therewith.</w:t>
      </w:r>
    </w:p>
    <w:p>
      <w:pPr>
        <w:pStyle w:val="Heading2"/>
        <w:spacing w:after="80" w:before="240"/>
      </w:pPr>
      <w:r>
        <w:rPr>
          <w:rFonts w:ascii="Arial" w:cs="Arial" w:eastAsia="Arial" w:hAnsi="Arial"/>
          <w:b/>
          <w:bCs/>
          <w:sz w:val="24"/>
          <w:szCs w:val="24"/>
        </w:rPr>
        <w:t xml:space="preserve">5. GENERAL PROVISIONS</w:t>
      </w:r>
    </w:p>
    <w:p>
      <w:pPr>
        <w:spacing w:after="80" w:before="80"/>
        <w:ind/>
      </w:pPr>
      <w:r>
        <w:rPr>
          <w:rFonts w:ascii="Arial" w:cs="Arial" w:eastAsia="Arial" w:hAnsi="Arial"/>
          <w:sz w:val="20"/>
          <w:szCs w:val="20"/>
        </w:rPr>
        <w:t xml:space="preserve">5.1  Full Recourse. Notwithstanding any non-recourse provisions in the Loan Agreement or other Loan Documents, this Agreement shall be fully recourse against Indemnitors.</w:t>
      </w:r>
    </w:p>
    <w:p>
      <w:pPr>
        <w:spacing w:after="80" w:before="80"/>
        <w:ind/>
      </w:pPr>
      <w:r>
        <w:rPr>
          <w:rFonts w:ascii="Arial" w:cs="Arial" w:eastAsia="Arial" w:hAnsi="Arial"/>
          <w:sz w:val="20"/>
          <w:szCs w:val="20"/>
        </w:rPr>
        <w:t xml:space="preserve">5.2  Joint and Several. The obligations of each Indemnitor hereunder are joint and several.</w:t>
      </w:r>
    </w:p>
    <w:p>
      <w:pPr>
        <w:spacing w:after="80" w:before="80"/>
        <w:ind/>
      </w:pPr>
      <w:r>
        <w:rPr>
          <w:rFonts w:ascii="Arial" w:cs="Arial" w:eastAsia="Arial" w:hAnsi="Arial"/>
          <w:sz w:val="20"/>
          <w:szCs w:val="20"/>
        </w:rPr>
        <w:t xml:space="preserve">5.3  Governing Law. This Agreement shall be governed by the laws of the State of Colorado and applicable federal environmental laws.</w:t>
      </w:r>
    </w:p>
    <w:p>
      <w:pPr>
        <w:spacing w:after="80" w:before="80"/>
        <w:ind/>
      </w:pPr>
      <w:r>
        <w:rPr>
          <w:rFonts w:ascii="Arial" w:cs="Arial" w:eastAsia="Arial" w:hAnsi="Arial"/>
          <w:sz w:val="20"/>
          <w:szCs w:val="20"/>
        </w:rPr>
        <w:t xml:space="preserve">5.4  Successors. This Agreement shall bind the successors, assigns, heirs, and personal representatives of Indemnitors and shall inure to the benefit of Indemnitee and its successors and assigns.</w:t>
      </w:r>
    </w:p>
    <w:p>
      <w:pPr>
        <w:spacing w:after="80" w:before="80"/>
        <w:ind/>
      </w:pPr>
      <w:r>
        <w:rPr>
          <w:rFonts w:ascii="Arial" w:cs="Arial" w:eastAsia="Arial" w:hAnsi="Arial"/>
          <w:sz w:val="20"/>
          <w:szCs w:val="20"/>
        </w:rPr>
        <w:t xml:space="preserve">5.5  Entire Agreement. This Agreement supersedes all prior environmental representations and understandings of the parties with respect to the subject matter hereof.</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Indemnitors have executed this Agreement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MERIDIAN CAPITAL HOLDINGS IV LLC</w:t>
      </w:r>
    </w:p>
    <w:p>
      <w:pPr>
        <w:spacing w:after="80" w:before="80"/>
        <w:ind/>
      </w:pPr>
      <w:r>
        <w:rPr>
          <w:rFonts w:ascii="Arial" w:cs="Arial" w:eastAsia="Arial" w:hAnsi="Arial"/>
          <w:sz w:val="20"/>
          <w:szCs w:val="20"/>
        </w:rPr>
        <w:t xml:space="preserve">By: ___________________________   Name: James T. Harrington   Title: Manager</w:t>
      </w:r>
    </w:p>
    <w:p>
      <w:pPr>
        <w:spacing w:after="60" w:before="0"/>
      </w:pPr>
      <w:r>
        <w:t xml:space="preserve"/>
      </w:r>
    </w:p>
    <w:p>
      <w:pPr>
        <w:spacing w:after="80" w:before="80"/>
        <w:ind/>
      </w:pPr>
      <w:r>
        <w:rPr>
          <w:rFonts w:ascii="Arial" w:cs="Arial" w:eastAsia="Arial" w:hAnsi="Arial"/>
          <w:sz w:val="20"/>
          <w:szCs w:val="20"/>
        </w:rPr>
        <w:t xml:space="preserve">MERIDIAN CAPITAL GROUP LLC</w:t>
      </w:r>
    </w:p>
    <w:p>
      <w:pPr>
        <w:spacing w:after="80" w:before="80"/>
        <w:ind/>
      </w:pPr>
      <w:r>
        <w:rPr>
          <w:rFonts w:ascii="Arial" w:cs="Arial" w:eastAsia="Arial" w:hAnsi="Arial"/>
          <w:sz w:val="20"/>
          <w:szCs w:val="20"/>
        </w:rPr>
        <w:t xml:space="preserve">By: ___________________________   Name: James T. Harrington   Title: Manager</w:t>
      </w:r>
    </w:p>
    <w:p>
      <w:pPr>
        <w:spacing w:after="60" w:before="0"/>
      </w:pPr>
      <w:r>
        <w:t xml:space="preserve"/>
      </w:r>
    </w:p>
    <w:p>
      <w:pPr>
        <w:spacing w:after="80" w:before="80"/>
        <w:ind/>
      </w:pPr>
      <w:r>
        <w:rPr>
          <w:rFonts w:ascii="Arial" w:cs="Arial" w:eastAsia="Arial" w:hAnsi="Arial"/>
          <w:sz w:val="20"/>
          <w:szCs w:val="20"/>
        </w:rPr>
        <w:t xml:space="preserve">JAMES T. HARRINGTON, Individually</w:t>
      </w:r>
    </w:p>
    <w:p>
      <w:pPr>
        <w:spacing w:after="80" w:before="80"/>
        <w:ind/>
      </w:pPr>
      <w:r>
        <w:rPr>
          <w:rFonts w:ascii="Arial" w:cs="Arial" w:eastAsia="Arial" w:hAnsi="Arial"/>
          <w:sz w:val="20"/>
          <w:szCs w:val="20"/>
        </w:rPr>
        <w:t xml:space="preserve">Signature: ___________________________   Date: March 15,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2026-03-05T20:36:03.127Z</dcterms:created>
  <dcterms:modified xsi:type="dcterms:W3CDTF">2026-03-05T20:36:03.127Z</dcterms:modified>
</cp:coreProperties>
</file>

<file path=docProps/custom.xml><?xml version="1.0" encoding="utf-8"?>
<Properties xmlns="http://schemas.openxmlformats.org/officeDocument/2006/custom-properties" xmlns:vt="http://schemas.openxmlformats.org/officeDocument/2006/docPropsVTypes"/>
</file>