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CASH MANAGEMENT AND LOCKBOX AGREEMENT</w:t>
      </w:r>
    </w:p>
    <w:p>
      <w:pPr>
        <w:spacing w:after="480" w:before="0"/>
        <w:jc w:val="center"/>
      </w:pPr>
      <w:r>
        <w:rPr>
          <w:rFonts w:ascii="Arial" w:cs="Arial" w:eastAsia="Arial" w:hAnsi="Arial"/>
          <w:color w:val="555555"/>
          <w:sz w:val="22"/>
          <w:szCs w:val="22"/>
        </w:rPr>
        <w:t xml:space="preserve">Cascade Ridge Apartments — March 15,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Borrower: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Depository Bank: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Commerce Bank, N.A. (Denver, CO)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 240 Units, Aurora CO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Lockbox Account: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Commerce Bank — Account No. XXXX-8821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Cash Sweep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as of Closing Date (DSCR = 1.19x; below 1.20x threshold)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CASH MANAGEMENT AND LOCKBOX AGREEMENT</w:t>
      </w:r>
    </w:p>
    <w:p>
      <w:pPr>
        <w:spacing w:after="80" w:before="80"/>
        <w:ind/>
      </w:pPr>
      <w:r>
        <w:rPr>
          <w:rFonts w:ascii="Arial" w:cs="Arial" w:eastAsia="Arial" w:hAnsi="Arial"/>
          <w:sz w:val="20"/>
          <w:szCs w:val="20"/>
        </w:rPr>
        <w:t xml:space="preserve">THIS CASH MANAGEMENT AND LOCKBOX AGREEMENT (this "Agreement") is entered into as of March 15, 2024, by and among MERIDIAN CAPITAL HOLDINGS IV LLC, a Delaware limited liability company ("Borrower"), HARTWELL CAPITAL PARTNERS LLC, a Delaware limited liability company ("Lender"), and FIRST COMMERCE BANK, N.A., a national banking association ("Depository Bank").</w:t>
      </w:r>
    </w:p>
    <w:p>
      <w:pPr>
        <w:pStyle w:val="Heading2"/>
        <w:spacing w:after="80" w:before="240"/>
      </w:pPr>
      <w:r>
        <w:rPr>
          <w:rFonts w:ascii="Arial" w:cs="Arial" w:eastAsia="Arial" w:hAnsi="Arial"/>
          <w:b/>
          <w:bCs/>
          <w:sz w:val="24"/>
          <w:szCs w:val="24"/>
        </w:rPr>
        <w:t xml:space="preserve">RECITALS</w:t>
      </w:r>
    </w:p>
    <w:p>
      <w:pPr>
        <w:spacing w:after="80" w:before="80"/>
        <w:ind/>
      </w:pPr>
      <w:r>
        <w:rPr>
          <w:rFonts w:ascii="Arial" w:cs="Arial" w:eastAsia="Arial" w:hAnsi="Arial"/>
          <w:sz w:val="20"/>
          <w:szCs w:val="20"/>
        </w:rPr>
        <w:t xml:space="preserve">A.   Lender has made a bridge loan of $28,350,000 (the "Loan") to Borrower pursuant to the Loan Agreement of even date herewith.</w:t>
      </w:r>
    </w:p>
    <w:p>
      <w:pPr>
        <w:spacing w:after="80" w:before="80"/>
        <w:ind/>
      </w:pPr>
      <w:r>
        <w:rPr>
          <w:rFonts w:ascii="Arial" w:cs="Arial" w:eastAsia="Arial" w:hAnsi="Arial"/>
          <w:sz w:val="20"/>
          <w:szCs w:val="20"/>
        </w:rPr>
        <w:t xml:space="preserve">B.   As a condition to the Loan, Lender requires that all Rents and revenues from the Property be deposited into a lockbox account under Lender's control, and that all cash flow be managed and distributed in accordance with the waterfall set forth herein.</w:t>
      </w:r>
    </w:p>
    <w:p>
      <w:pPr>
        <w:spacing w:after="80" w:before="80"/>
        <w:ind/>
      </w:pPr>
      <w:r>
        <w:rPr>
          <w:rFonts w:ascii="Arial" w:cs="Arial" w:eastAsia="Arial" w:hAnsi="Arial"/>
          <w:sz w:val="20"/>
          <w:szCs w:val="20"/>
        </w:rPr>
        <w:t xml:space="preserve">C.   Depository Bank has agreed to act as depository bank and administer the accounts described herein in accordance with the terms of this Agreement.</w:t>
      </w:r>
    </w:p>
    <w:p>
      <w:pPr>
        <w:pStyle w:val="Heading2"/>
        <w:spacing w:after="80" w:before="240"/>
      </w:pPr>
      <w:r>
        <w:rPr>
          <w:rFonts w:ascii="Arial" w:cs="Arial" w:eastAsia="Arial" w:hAnsi="Arial"/>
          <w:b/>
          <w:bCs/>
          <w:sz w:val="24"/>
          <w:szCs w:val="24"/>
        </w:rPr>
        <w:t xml:space="preserve">ARTICLE 1 — ACCOUNTS</w:t>
      </w:r>
    </w:p>
    <w:p>
      <w:pPr>
        <w:spacing w:after="80" w:before="80"/>
        <w:ind/>
      </w:pPr>
      <w:r>
        <w:rPr>
          <w:rFonts w:ascii="Arial" w:cs="Arial" w:eastAsia="Arial" w:hAnsi="Arial"/>
          <w:sz w:val="20"/>
          <w:szCs w:val="20"/>
        </w:rPr>
        <w:t xml:space="preserve">1.1  Lockbox Account. Borrower has established Account No. XXXX-8821 at First Commerce Bank, N.A. (the "Lockbox Account"), which shall be pledged to Lender as additional security for the Loan. All Rents, fees, and other revenues generated by the Property shall be directed to and deposited into the Lockbox Account.</w:t>
      </w:r>
    </w:p>
    <w:p>
      <w:pPr>
        <w:spacing w:after="80" w:before="80"/>
        <w:ind/>
      </w:pPr>
      <w:r>
        <w:rPr>
          <w:rFonts w:ascii="Arial" w:cs="Arial" w:eastAsia="Arial" w:hAnsi="Arial"/>
          <w:sz w:val="20"/>
          <w:szCs w:val="20"/>
        </w:rPr>
        <w:t xml:space="preserve">1.2  Account Structure. The following accounts shall be maintained by Depository Bank pursuant to this Agreement (collectively, the "Cash Management Accounts"):</w:t>
      </w:r>
    </w:p>
    <w:p>
      <w:pPr>
        <w:spacing w:after="80" w:before="80"/>
        <w:ind w:left="720"/>
      </w:pPr>
      <w:r>
        <w:rPr>
          <w:rFonts w:ascii="Arial" w:cs="Arial" w:eastAsia="Arial" w:hAnsi="Arial"/>
          <w:sz w:val="20"/>
          <w:szCs w:val="20"/>
        </w:rPr>
        <w:t xml:space="preserve">(a)  Lockbox / Receivables Account (XXXX-8821): Receives all incoming Property revenue;</w:t>
      </w:r>
    </w:p>
    <w:p>
      <w:pPr>
        <w:spacing w:after="80" w:before="80"/>
        <w:ind w:left="720"/>
      </w:pPr>
      <w:r>
        <w:rPr>
          <w:rFonts w:ascii="Arial" w:cs="Arial" w:eastAsia="Arial" w:hAnsi="Arial"/>
          <w:sz w:val="20"/>
          <w:szCs w:val="20"/>
        </w:rPr>
        <w:t xml:space="preserve">(b)  Operating Account (XXXX-8822): Funded monthly for approved operating expenses;</w:t>
      </w:r>
    </w:p>
    <w:p>
      <w:pPr>
        <w:spacing w:after="80" w:before="80"/>
        <w:ind w:left="720"/>
      </w:pPr>
      <w:r>
        <w:rPr>
          <w:rFonts w:ascii="Arial" w:cs="Arial" w:eastAsia="Arial" w:hAnsi="Arial"/>
          <w:sz w:val="20"/>
          <w:szCs w:val="20"/>
        </w:rPr>
        <w:t xml:space="preserve">(c)  Tax and Insurance Reserve Account (XXXX-8823): Monthly T&amp;I escrow deposits;</w:t>
      </w:r>
    </w:p>
    <w:p>
      <w:pPr>
        <w:spacing w:after="80" w:before="80"/>
        <w:ind w:left="720"/>
      </w:pPr>
      <w:r>
        <w:rPr>
          <w:rFonts w:ascii="Arial" w:cs="Arial" w:eastAsia="Arial" w:hAnsi="Arial"/>
          <w:sz w:val="20"/>
          <w:szCs w:val="20"/>
        </w:rPr>
        <w:t xml:space="preserve">(d)  Replacement Reserve Account (XXXX-8824): Monthly capital reserve deposits ($30,000/month);</w:t>
      </w:r>
    </w:p>
    <w:p>
      <w:pPr>
        <w:spacing w:after="80" w:before="80"/>
        <w:ind w:left="720"/>
      </w:pPr>
      <w:r>
        <w:rPr>
          <w:rFonts w:ascii="Arial" w:cs="Arial" w:eastAsia="Arial" w:hAnsi="Arial"/>
          <w:sz w:val="20"/>
          <w:szCs w:val="20"/>
        </w:rPr>
        <w:t xml:space="preserve">(e)  Cash Sweep Account (XXXX-8825): Excess cash held when Cash Sweep is active; and</w:t>
      </w:r>
    </w:p>
    <w:p>
      <w:pPr>
        <w:spacing w:after="80" w:before="80"/>
        <w:ind w:left="720"/>
      </w:pPr>
      <w:r>
        <w:rPr>
          <w:rFonts w:ascii="Arial" w:cs="Arial" w:eastAsia="Arial" w:hAnsi="Arial"/>
          <w:sz w:val="20"/>
          <w:szCs w:val="20"/>
        </w:rPr>
        <w:t xml:space="preserve">(f)  Debt Service Account (XXXX-8826): Monthly interest payment account.</w:t>
      </w:r>
    </w:p>
    <w:p>
      <w:pPr>
        <w:spacing w:after="80" w:before="80"/>
        <w:ind/>
      </w:pPr>
      <w:r>
        <w:rPr>
          <w:rFonts w:ascii="Arial" w:cs="Arial" w:eastAsia="Arial" w:hAnsi="Arial"/>
          <w:sz w:val="20"/>
          <w:szCs w:val="20"/>
        </w:rPr>
        <w:t xml:space="preserve">1.3  Control. Each Cash Management Account shall be in the name of Borrower but subject to a Deposit Account Control Agreement (DACA) in favor of Lender, and Lender shall have full dominion and control over each account. Borrower shall have no right to withdraw from any account other than the Operating Account, and only to the extent permitted hereunder.</w:t>
      </w:r>
    </w:p>
    <w:p>
      <w:pPr>
        <w:spacing w:after="80" w:before="80"/>
        <w:ind/>
      </w:pPr>
      <w:r>
        <w:rPr>
          <w:rFonts w:ascii="Arial" w:cs="Arial" w:eastAsia="Arial" w:hAnsi="Arial"/>
          <w:sz w:val="20"/>
          <w:szCs w:val="20"/>
        </w:rPr>
        <w:t xml:space="preserve">1.4  Tenant Direction. All tenants at the Property have been directed to remit rental payments to the Lockbox Account. All lease agreements shall direct rent payments to the Lockbox Account. Borrower shall not direct any tenant to pay rents to any other account.</w:t>
      </w:r>
    </w:p>
    <w:p>
      <w:pPr>
        <w:pStyle w:val="Heading2"/>
        <w:spacing w:after="80" w:before="240"/>
      </w:pPr>
      <w:r>
        <w:rPr>
          <w:rFonts w:ascii="Arial" w:cs="Arial" w:eastAsia="Arial" w:hAnsi="Arial"/>
          <w:b/>
          <w:bCs/>
          <w:sz w:val="24"/>
          <w:szCs w:val="24"/>
        </w:rPr>
        <w:t xml:space="preserve">ARTICLE 2 — CASH FLOW WATERFALL</w:t>
      </w:r>
    </w:p>
    <w:p>
      <w:pPr>
        <w:spacing w:after="80" w:before="80"/>
        <w:ind/>
      </w:pPr>
      <w:r>
        <w:rPr>
          <w:rFonts w:ascii="Arial" w:cs="Arial" w:eastAsia="Arial" w:hAnsi="Arial"/>
          <w:sz w:val="20"/>
          <w:szCs w:val="20"/>
        </w:rPr>
        <w:t xml:space="preserve">2.1  Monthly Distribution. On the 5th Business Day of each calendar month, Depository Bank shall apply and distribute all funds in the Lockbox Account in the following priority order (the "Waterfall"):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3000"/>
      </w:tblGrid>
      <w:tr>
        <w:tc>
          <w:tcPr>
            <w:tcW w:type="dxa" w:w="6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Priority</w:t>
            </w:r>
          </w:p>
        </w:tc>
        <w:tc>
          <w:tcPr>
            <w:tcW w:type="dxa" w:w="18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Category</w:t>
            </w:r>
          </w:p>
        </w:tc>
        <w:tc>
          <w:tcPr>
            <w:tcW w:type="dxa" w:w="3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Destination</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First</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Operating Expenses</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Payment of approved monthly operating expenses (per Approved Annual Budget, including a 5% variance tolerance)</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Operating Account</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Second</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Debt Service</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Monthly interest payment on the Loan (SOFR + 285bps on $28,350,000)</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Lender — Loan Payment Account</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Third</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Tax &amp; Insurance Reserve</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Monthly deposits: 1/12 of annual real property taxes + 1/12 of annual insurance premiums (currently estimated at $47,200/mo combined)</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Lender — T&amp;I Reserve Account</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Fourth</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Replacement Reserve</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Monthly deposit of $30,000 ($125/unit/year) until balance reaches $4,200,000 CapEx Reserve target</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Lender — Replacement Reserve Account</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Fifth</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Cash Sweep (if triggered)</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ALL remaining cash swept to Cash Sweep Account if DSCR &lt; 1.20x or Occupancy &lt; 87%. Currently ACTIVE as of March 15, 2024 (DSCR = 1.19x)</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Lender — Cash Sweep Account</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Sixth</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Borrower Distribution</w:t>
            </w:r>
          </w:p>
        </w:tc>
        <w:tc>
          <w:tcPr>
            <w:tcW w:type="dxa" w:w="3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Remaining funds released to Borrower ONLY if Cash Sweep Release Conditions are met (DSCR &gt;= 1.20x for 2 consecutive quarters AND Occupancy &gt;= 90%)</w:t>
            </w:r>
          </w:p>
        </w:tc>
        <w:tc>
          <w:tcPr>
            <w:tcW w:type="dxa" w:w="30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7"/>
                <w:szCs w:val="17"/>
              </w:rPr>
              <w:t xml:space="preserve">Borrower — Operating Account</w:t>
            </w:r>
          </w:p>
        </w:tc>
      </w:tr>
    </w:tbl>
    <w:p>
      <w:pPr>
        <w:spacing w:after="60" w:before="0"/>
      </w:pPr>
      <w:r>
        <w:t xml:space="preserve"/>
      </w:r>
    </w:p>
    <w:p>
      <w:pPr>
        <w:spacing w:after="80" w:before="80"/>
        <w:ind/>
      </w:pPr>
      <w:r>
        <w:rPr>
          <w:rFonts w:ascii="Arial" w:cs="Arial" w:eastAsia="Arial" w:hAnsi="Arial"/>
          <w:sz w:val="20"/>
          <w:szCs w:val="20"/>
        </w:rPr>
        <w:t xml:space="preserve">2.2  Order of Priority. The Waterfall is strictly sequential. No funds shall be applied to any priority level until all amounts owed at each higher priority level have been fully funded.</w:t>
      </w:r>
    </w:p>
    <w:p>
      <w:pPr>
        <w:spacing w:after="80" w:before="80"/>
        <w:ind/>
      </w:pPr>
      <w:r>
        <w:rPr>
          <w:rFonts w:ascii="Arial" w:cs="Arial" w:eastAsia="Arial" w:hAnsi="Arial"/>
          <w:sz w:val="20"/>
          <w:szCs w:val="20"/>
        </w:rPr>
        <w:t xml:space="preserve">2.3  Shortfall. If funds in the Lockbox Account are insufficient to fund any priority level in full, such shortfall shall constitute an Event of Default under the Loan Agreement if not cured within five (5) Business Days after notice from Lender.</w:t>
      </w:r>
    </w:p>
    <w:p>
      <w:pPr>
        <w:pStyle w:val="Heading2"/>
        <w:spacing w:after="80" w:before="240"/>
      </w:pPr>
      <w:r>
        <w:rPr>
          <w:rFonts w:ascii="Arial" w:cs="Arial" w:eastAsia="Arial" w:hAnsi="Arial"/>
          <w:b/>
          <w:bCs/>
          <w:sz w:val="24"/>
          <w:szCs w:val="24"/>
        </w:rPr>
        <w:t xml:space="preserve">ARTICLE 3 — CASH SWEEP PROVISIONS</w:t>
      </w:r>
    </w:p>
    <w:p>
      <w:pPr>
        <w:spacing w:after="80" w:before="80"/>
        <w:ind/>
      </w:pPr>
      <w:r>
        <w:rPr>
          <w:rFonts w:ascii="Arial" w:cs="Arial" w:eastAsia="Arial" w:hAnsi="Arial"/>
          <w:sz w:val="20"/>
          <w:szCs w:val="20"/>
        </w:rPr>
        <w:t xml:space="preserve">3.1  Cash Sweep Active at Closing. As of the Closing Date (March 15, 2024), a Cash Sweep Trigger Event is in effect because the trailing twelve-month DSCR of 1.19x is below the required 1.20x threshold. Accordingly, all Excess Cash (as defined below) shall be swept to the Cash Sweep Account immediately upon execution of this Agreement.</w:t>
      </w:r>
    </w:p>
    <w:p>
      <w:pPr>
        <w:spacing w:after="80" w:before="80"/>
        <w:ind/>
      </w:pPr>
      <w:r>
        <w:rPr>
          <w:rFonts w:ascii="Arial" w:cs="Arial" w:eastAsia="Arial" w:hAnsi="Arial"/>
          <w:sz w:val="20"/>
          <w:szCs w:val="20"/>
        </w:rPr>
        <w:t xml:space="preserve">3.2  Cash Sweep Trigger. A "Cash Sweep Trigger Event" shall occur and be continuing if any of the following conditions exist as of any Quarterly Test Date:</w:t>
      </w:r>
    </w:p>
    <w:p>
      <w:pPr>
        <w:spacing w:after="80" w:before="80"/>
        <w:ind w:left="720"/>
      </w:pPr>
      <w:r>
        <w:rPr>
          <w:rFonts w:ascii="Arial" w:cs="Arial" w:eastAsia="Arial" w:hAnsi="Arial"/>
          <w:sz w:val="20"/>
          <w:szCs w:val="20"/>
        </w:rPr>
        <w:t xml:space="preserve">(a)  The trailing twelve-month DSCR is less than 1.20x;</w:t>
      </w:r>
    </w:p>
    <w:p>
      <w:pPr>
        <w:spacing w:after="80" w:before="80"/>
        <w:ind w:left="720"/>
      </w:pPr>
      <w:r>
        <w:rPr>
          <w:rFonts w:ascii="Arial" w:cs="Arial" w:eastAsia="Arial" w:hAnsi="Arial"/>
          <w:sz w:val="20"/>
          <w:szCs w:val="20"/>
        </w:rPr>
        <w:t xml:space="preserve">(b)  Property Occupancy falls below 87%; or</w:t>
      </w:r>
    </w:p>
    <w:p>
      <w:pPr>
        <w:spacing w:after="80" w:before="80"/>
        <w:ind w:left="720"/>
      </w:pPr>
      <w:r>
        <w:rPr>
          <w:rFonts w:ascii="Arial" w:cs="Arial" w:eastAsia="Arial" w:hAnsi="Arial"/>
          <w:sz w:val="20"/>
          <w:szCs w:val="20"/>
        </w:rPr>
        <w:t xml:space="preserve">(c)  An Event of Default has occurred and is continuing.</w:t>
      </w:r>
    </w:p>
    <w:p>
      <w:pPr>
        <w:spacing w:after="80" w:before="80"/>
        <w:ind/>
      </w:pPr>
      <w:r>
        <w:rPr>
          <w:rFonts w:ascii="Arial" w:cs="Arial" w:eastAsia="Arial" w:hAnsi="Arial"/>
          <w:sz w:val="20"/>
          <w:szCs w:val="20"/>
        </w:rPr>
        <w:t xml:space="preserve">3.3  Cash Sweep Release. A Cash Sweep Release Event shall occur only when ALL of the following conditions are satisfied for two (2) consecutive Quarterly Test Dates:</w:t>
      </w:r>
    </w:p>
    <w:p>
      <w:pPr>
        <w:spacing w:after="80" w:before="80"/>
        <w:ind w:left="720"/>
      </w:pPr>
      <w:r>
        <w:rPr>
          <w:rFonts w:ascii="Arial" w:cs="Arial" w:eastAsia="Arial" w:hAnsi="Arial"/>
          <w:sz w:val="20"/>
          <w:szCs w:val="20"/>
        </w:rPr>
        <w:t xml:space="preserve">(a)  Trailing twelve-month DSCR equals or exceeds 1.20x;</w:t>
      </w:r>
    </w:p>
    <w:p>
      <w:pPr>
        <w:spacing w:after="80" w:before="80"/>
        <w:ind w:left="720"/>
      </w:pPr>
      <w:r>
        <w:rPr>
          <w:rFonts w:ascii="Arial" w:cs="Arial" w:eastAsia="Arial" w:hAnsi="Arial"/>
          <w:sz w:val="20"/>
          <w:szCs w:val="20"/>
        </w:rPr>
        <w:t xml:space="preserve">(b)  Property Occupancy equals or exceeds 90%; and</w:t>
      </w:r>
    </w:p>
    <w:p>
      <w:pPr>
        <w:spacing w:after="80" w:before="80"/>
        <w:ind w:left="720"/>
      </w:pPr>
      <w:r>
        <w:rPr>
          <w:rFonts w:ascii="Arial" w:cs="Arial" w:eastAsia="Arial" w:hAnsi="Arial"/>
          <w:sz w:val="20"/>
          <w:szCs w:val="20"/>
        </w:rPr>
        <w:t xml:space="preserve">(c)  No Event of Default has occurred and is continuing.</w:t>
      </w:r>
    </w:p>
    <w:p>
      <w:pPr>
        <w:spacing w:after="80" w:before="80"/>
        <w:ind/>
      </w:pPr>
      <w:r>
        <w:rPr>
          <w:rFonts w:ascii="Arial" w:cs="Arial" w:eastAsia="Arial" w:hAnsi="Arial"/>
          <w:sz w:val="20"/>
          <w:szCs w:val="20"/>
        </w:rPr>
        <w:t xml:space="preserve">3.4  Application of Swept Funds. During a Cash Sweep Period, Lender may, in its sole discretion, apply funds in the Cash Sweep Account to: (i) reduce the outstanding principal balance of the Loan; (ii) fund additional reserves; (iii) pay any delinquent amounts owed under the Loan Documents; or (iv) hold such funds as additional collateral. Any swept funds not so applied shall be released to Borrower upon the occurrence of a Cash Sweep Release Event.</w:t>
      </w:r>
    </w:p>
    <w:p>
      <w:pPr>
        <w:pStyle w:val="Heading2"/>
        <w:spacing w:after="80" w:before="240"/>
      </w:pPr>
      <w:r>
        <w:rPr>
          <w:rFonts w:ascii="Arial" w:cs="Arial" w:eastAsia="Arial" w:hAnsi="Arial"/>
          <w:b/>
          <w:bCs/>
          <w:sz w:val="24"/>
          <w:szCs w:val="24"/>
        </w:rPr>
        <w:t xml:space="preserve">ARTICLE 4 — REPLACEMENT RESERVE</w:t>
      </w:r>
    </w:p>
    <w:p>
      <w:pPr>
        <w:spacing w:after="80" w:before="80"/>
        <w:ind/>
      </w:pPr>
      <w:r>
        <w:rPr>
          <w:rFonts w:ascii="Arial" w:cs="Arial" w:eastAsia="Arial" w:hAnsi="Arial"/>
          <w:sz w:val="20"/>
          <w:szCs w:val="20"/>
        </w:rPr>
        <w:t xml:space="preserve">4.1  Monthly Deposits. Borrower shall deposit $30,000 per month into the Replacement Reserve Account. The aggregate reserve is targeted at $4,200,000 ($17,500/unit), representing approximately 3.5 years of targeted deposits.</w:t>
      </w:r>
    </w:p>
    <w:p>
      <w:pPr>
        <w:spacing w:after="80" w:before="80"/>
        <w:ind/>
      </w:pPr>
      <w:r>
        <w:rPr>
          <w:rFonts w:ascii="Arial" w:cs="Arial" w:eastAsia="Arial" w:hAnsi="Arial"/>
          <w:sz w:val="20"/>
          <w:szCs w:val="20"/>
        </w:rPr>
        <w:t xml:space="preserve">4.2  Draw Procedures. Borrower may request disbursements from the Replacement Reserve Account for approved capital expenditures by submitting a draw request to Lender no less than 10 Business Days before the required funding date, together with: (i) a description of the work to be performed, (ii) contractor bids or invoices, (iii) Borrower certification that the work will be completed in compliance with applicable law, and (iv) such other information as Lender may reasonably require.</w:t>
      </w:r>
    </w:p>
    <w:p>
      <w:pPr>
        <w:spacing w:after="80" w:before="80"/>
        <w:ind/>
      </w:pPr>
      <w:r>
        <w:rPr>
          <w:rFonts w:ascii="Arial" w:cs="Arial" w:eastAsia="Arial" w:hAnsi="Arial"/>
          <w:sz w:val="20"/>
          <w:szCs w:val="20"/>
        </w:rPr>
        <w:t xml:space="preserve">4.3  Lender Approval. Lender shall approve or deny draw requests within five (5) Business Days of receipt of a complete draw request. Lender shall not unreasonably withhold approval of draw requests for capital work consistent with the Approved Capital Plan.</w:t>
      </w:r>
    </w:p>
    <w:p>
      <w:pPr>
        <w:pStyle w:val="Heading2"/>
        <w:spacing w:after="80" w:before="240"/>
      </w:pPr>
      <w:r>
        <w:rPr>
          <w:rFonts w:ascii="Arial" w:cs="Arial" w:eastAsia="Arial" w:hAnsi="Arial"/>
          <w:b/>
          <w:bCs/>
          <w:sz w:val="24"/>
          <w:szCs w:val="24"/>
        </w:rPr>
        <w:t xml:space="preserve">ARTICLE 5 — REPORTING</w:t>
      </w:r>
    </w:p>
    <w:p>
      <w:pPr>
        <w:spacing w:after="80" w:before="80"/>
        <w:ind/>
      </w:pPr>
      <w:r>
        <w:rPr>
          <w:rFonts w:ascii="Arial" w:cs="Arial" w:eastAsia="Arial" w:hAnsi="Arial"/>
          <w:sz w:val="20"/>
          <w:szCs w:val="20"/>
        </w:rPr>
        <w:t xml:space="preserve">5.1  Monthly Account Statements. Depository Bank shall provide Borrower and Lender with monthly account statements for each Cash Management Account within five (5) Business Days after the end of each calendar month.</w:t>
      </w:r>
    </w:p>
    <w:p>
      <w:pPr>
        <w:spacing w:after="80" w:before="80"/>
        <w:ind/>
      </w:pPr>
      <w:r>
        <w:rPr>
          <w:rFonts w:ascii="Arial" w:cs="Arial" w:eastAsia="Arial" w:hAnsi="Arial"/>
          <w:sz w:val="20"/>
          <w:szCs w:val="20"/>
        </w:rPr>
        <w:t xml:space="preserve">5.2  Lender Reporting. Borrower shall include a reconciliation of all Cash Management Account activity in the Monthly Management Report delivered pursuant to the Loan Agreement.</w:t>
      </w:r>
    </w:p>
    <w:p>
      <w:pPr>
        <w:pStyle w:val="Heading2"/>
        <w:spacing w:after="80" w:before="240"/>
      </w:pPr>
      <w:r>
        <w:rPr>
          <w:rFonts w:ascii="Arial" w:cs="Arial" w:eastAsia="Arial" w:hAnsi="Arial"/>
          <w:b/>
          <w:bCs/>
          <w:sz w:val="24"/>
          <w:szCs w:val="24"/>
        </w:rPr>
        <w:t xml:space="preserve">ARTICLE 6 — EVENTS OF DEFAULT; REMEDIES</w:t>
      </w:r>
    </w:p>
    <w:p>
      <w:pPr>
        <w:spacing w:after="80" w:before="80"/>
        <w:ind/>
      </w:pPr>
      <w:r>
        <w:rPr>
          <w:rFonts w:ascii="Arial" w:cs="Arial" w:eastAsia="Arial" w:hAnsi="Arial"/>
          <w:sz w:val="20"/>
          <w:szCs w:val="20"/>
        </w:rPr>
        <w:t xml:space="preserve">6.1  Default. A default under this Agreement shall constitute an Event of Default under the Loan Agreement.</w:t>
      </w:r>
    </w:p>
    <w:p>
      <w:pPr>
        <w:spacing w:after="80" w:before="80"/>
        <w:ind/>
      </w:pPr>
      <w:r>
        <w:rPr>
          <w:rFonts w:ascii="Arial" w:cs="Arial" w:eastAsia="Arial" w:hAnsi="Arial"/>
          <w:sz w:val="20"/>
          <w:szCs w:val="20"/>
        </w:rPr>
        <w:t xml:space="preserve">6.2  Remedies. Upon an Event of Default, Lender shall have the right to take exclusive control over all Cash Management Accounts, apply funds therein to the Loan and other obligations, and take any and all other actions authorized under the Loan Documents and applicable law.</w:t>
      </w:r>
    </w:p>
    <w:p>
      <w:pPr>
        <w:pStyle w:val="Heading2"/>
        <w:spacing w:after="80" w:before="240"/>
      </w:pPr>
      <w:r>
        <w:rPr>
          <w:rFonts w:ascii="Arial" w:cs="Arial" w:eastAsia="Arial" w:hAnsi="Arial"/>
          <w:b/>
          <w:bCs/>
          <w:sz w:val="24"/>
          <w:szCs w:val="24"/>
        </w:rPr>
        <w:t xml:space="preserve">ARTICLE 7 — GENERAL PROVISIONS</w:t>
      </w:r>
    </w:p>
    <w:p>
      <w:pPr>
        <w:spacing w:after="80" w:before="80"/>
        <w:ind/>
      </w:pPr>
      <w:r>
        <w:rPr>
          <w:rFonts w:ascii="Arial" w:cs="Arial" w:eastAsia="Arial" w:hAnsi="Arial"/>
          <w:sz w:val="20"/>
          <w:szCs w:val="20"/>
        </w:rPr>
        <w:t xml:space="preserve">7.1  Governing Law. This Agreement shall be governed by the laws of the State of Colorado.</w:t>
      </w:r>
    </w:p>
    <w:p>
      <w:pPr>
        <w:spacing w:after="80" w:before="80"/>
        <w:ind/>
      </w:pPr>
      <w:r>
        <w:rPr>
          <w:rFonts w:ascii="Arial" w:cs="Arial" w:eastAsia="Arial" w:hAnsi="Arial"/>
          <w:sz w:val="20"/>
          <w:szCs w:val="20"/>
        </w:rPr>
        <w:t xml:space="preserve">7.2  Entire Agreement. This Agreement constitutes the entire understanding of the parties with respect to the cash management arrangements for the Property and supersedes all prior agreements.</w:t>
      </w:r>
    </w:p>
    <w:p>
      <w:pPr>
        <w:spacing w:after="80" w:before="80"/>
        <w:ind/>
      </w:pPr>
      <w:r>
        <w:rPr>
          <w:rFonts w:ascii="Arial" w:cs="Arial" w:eastAsia="Arial" w:hAnsi="Arial"/>
          <w:sz w:val="20"/>
          <w:szCs w:val="20"/>
        </w:rPr>
        <w:t xml:space="preserve">7.3  Counterparts. This Agreement may be executed in counterparts, each of which shall be deemed an original.</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the parties have executed this Agreement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BORROWER: MERIDIAN CAPITAL HOLDINGS IV LLC</w:t>
      </w:r>
    </w:p>
    <w:p>
      <w:pPr>
        <w:spacing w:after="80" w:before="80"/>
        <w:ind/>
      </w:pPr>
      <w:r>
        <w:rPr>
          <w:rFonts w:ascii="Arial" w:cs="Arial" w:eastAsia="Arial" w:hAnsi="Arial"/>
          <w:sz w:val="20"/>
          <w:szCs w:val="20"/>
        </w:rPr>
        <w:t xml:space="preserve">By: ___________________________ Name: James T. Harrington   Title: Manager   Date: March 15, 2024</w:t>
      </w:r>
    </w:p>
    <w:p>
      <w:pPr>
        <w:spacing w:after="60" w:before="0"/>
      </w:pPr>
      <w:r>
        <w:t xml:space="preserve"/>
      </w:r>
    </w:p>
    <w:p>
      <w:pPr>
        <w:spacing w:after="80" w:before="80"/>
        <w:ind/>
      </w:pPr>
      <w:r>
        <w:rPr>
          <w:rFonts w:ascii="Arial" w:cs="Arial" w:eastAsia="Arial" w:hAnsi="Arial"/>
          <w:sz w:val="20"/>
          <w:szCs w:val="20"/>
        </w:rPr>
        <w:t xml:space="preserve">LENDER: HARTWELL CAPITAL PARTNERS LLC</w:t>
      </w:r>
    </w:p>
    <w:p>
      <w:pPr>
        <w:spacing w:after="80" w:before="80"/>
        <w:ind/>
      </w:pPr>
      <w:r>
        <w:rPr>
          <w:rFonts w:ascii="Arial" w:cs="Arial" w:eastAsia="Arial" w:hAnsi="Arial"/>
          <w:sz w:val="20"/>
          <w:szCs w:val="20"/>
        </w:rPr>
        <w:t xml:space="preserve">By: ___________________________ Name: Richard L. Caldwell   Title: Managing Director   Date: March 15, 2024</w:t>
      </w:r>
    </w:p>
    <w:p>
      <w:pPr>
        <w:spacing w:after="60" w:before="0"/>
      </w:pPr>
      <w:r>
        <w:t xml:space="preserve"/>
      </w:r>
    </w:p>
    <w:p>
      <w:pPr>
        <w:spacing w:after="80" w:before="80"/>
        <w:ind/>
      </w:pPr>
      <w:r>
        <w:rPr>
          <w:rFonts w:ascii="Arial" w:cs="Arial" w:eastAsia="Arial" w:hAnsi="Arial"/>
          <w:sz w:val="20"/>
          <w:szCs w:val="20"/>
        </w:rPr>
        <w:t xml:space="preserve">DEPOSITORY BANK: FIRST COMMERCE BANK, N.A.</w:t>
      </w:r>
    </w:p>
    <w:p>
      <w:pPr>
        <w:spacing w:after="80" w:before="80"/>
        <w:ind/>
      </w:pPr>
      <w:r>
        <w:rPr>
          <w:rFonts w:ascii="Arial" w:cs="Arial" w:eastAsia="Arial" w:hAnsi="Arial"/>
          <w:sz w:val="20"/>
          <w:szCs w:val="20"/>
        </w:rPr>
        <w:t xml:space="preserve">By: ___________________________ Name: ___________________   Title: SVP, Commercial Banking   Date: March 15,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2026-03-05T20:36:03.221Z</dcterms:created>
  <dcterms:modified xsi:type="dcterms:W3CDTF">2026-03-05T20:36:03.221Z</dcterms:modified>
</cp:coreProperties>
</file>

<file path=docProps/custom.xml><?xml version="1.0" encoding="utf-8"?>
<Properties xmlns="http://schemas.openxmlformats.org/officeDocument/2006/custom-properties" xmlns:vt="http://schemas.openxmlformats.org/officeDocument/2006/docPropsVTypes"/>
</file>