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3864"/>
          <w:sz w:val="40"/>
          <w:szCs w:val="40"/>
        </w:rPr>
        <w:t xml:space="preserve">QUARTERLY ASSET MANAGEMENT REPORT</w:t>
      </w:r>
    </w:p>
    <w:p>
      <w:pPr>
        <w:spacing w:after="60" w:before="0"/>
        <w:jc w:val="center"/>
      </w:pPr>
      <w:r>
        <w:rPr>
          <w:rFonts w:ascii="Arial" w:cs="Arial" w:eastAsia="Arial" w:hAnsi="Arial"/>
          <w:b/>
          <w:bCs/>
          <w:color w:val="2E5090"/>
          <w:sz w:val="28"/>
          <w:szCs w:val="28"/>
        </w:rPr>
        <w:t xml:space="preserve">Q3 2024 (July 1 – September 30, 2024)</w:t>
      </w:r>
    </w:p>
    <w:p>
      <w:pPr>
        <w:spacing w:after="480" w:before="0"/>
        <w:jc w:val="center"/>
      </w:pPr>
      <w:r>
        <w:rPr>
          <w:rFonts w:ascii="Arial" w:cs="Arial" w:eastAsia="Arial" w:hAnsi="Arial"/>
          <w:color w:val="555555"/>
          <w:sz w:val="20"/>
          <w:szCs w:val="20"/>
        </w:rPr>
        <w:t xml:space="preserve">Cascade Ridge Apartments | Prepared: October 14,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400"/>
        <w:gridCol w:w="204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Occupancy (9/30/24)</w:t>
            </w:r>
          </w:p>
        </w:tc>
        <w:tc>
          <w:tcPr>
            <w:tcW w:type="dxa" w:w="25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T12 NOI</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T12 DSCR</w:t>
            </w:r>
          </w:p>
        </w:tc>
        <w:tc>
          <w:tcPr>
            <w:tcW w:type="dxa" w:w="20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Cash Sweep Status</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F3C"/>
                <w:sz w:val="20"/>
                <w:szCs w:val="20"/>
              </w:rPr>
              <w:t xml:space="preserve">91.7% (220/240 units)</w:t>
            </w:r>
          </w:p>
        </w:tc>
        <w:tc>
          <w:tcPr>
            <w:tcW w:type="dxa" w:w="252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F3C"/>
                <w:sz w:val="20"/>
                <w:szCs w:val="20"/>
              </w:rPr>
              <w:t xml:space="preserve">$2,198,441</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996600"/>
                <w:sz w:val="20"/>
                <w:szCs w:val="20"/>
              </w:rPr>
              <w:t xml:space="preserve">1.27x ↑ (was 1.19x)</w:t>
            </w:r>
          </w:p>
        </w:tc>
        <w:tc>
          <w:tcPr>
            <w:tcW w:type="dxa" w:w="20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996600"/>
                <w:sz w:val="18"/>
                <w:szCs w:val="18"/>
              </w:rPr>
              <w:t xml:space="preserve">ACTIVE (1st of 2 quarters needed)</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1. EXECUTIVE SUMMARY</w:t>
      </w:r>
    </w:p>
    <w:p>
      <w:pPr>
        <w:spacing w:after="80" w:before="80"/>
        <w:ind/>
      </w:pPr>
      <w:r>
        <w:rPr>
          <w:rFonts w:ascii="Arial" w:cs="Arial" w:eastAsia="Arial" w:hAnsi="Arial"/>
          <w:sz w:val="20"/>
          <w:szCs w:val="20"/>
        </w:rPr>
        <w:t xml:space="preserve">Q3 2024 was a quarter of meaningful operational progress at Cascade Ridge Apartments. Occupancy improved from 88.3% at June 30, 2024 to 91.7% at September 30, 2024, driven by 22 new move-ins net of 8 move-outs. The trailing twelve-month DSCR improved to 1.27x (from 1.19x at origination), crossing the critical 1.20x threshold for the first time. Pursuant to the Cash Management Agreement, this represents the FIRST of TWO consecutive qualifying quarters required for Cash Sweep Release. If Q4 2024 DSCR also meets or exceeds 1.20x, the Cash Sweep will be released in early 2025 Q1.</w:t>
      </w:r>
    </w:p>
    <w:p>
      <w:pPr>
        <w:spacing w:after="80" w:before="80"/>
        <w:ind/>
      </w:pPr>
      <w:r>
        <w:rPr>
          <w:rFonts w:ascii="Arial" w:cs="Arial" w:eastAsia="Arial" w:hAnsi="Arial"/>
          <w:sz w:val="20"/>
          <w:szCs w:val="20"/>
        </w:rPr>
        <w:t xml:space="preserve">The Phase 1 renovation program is on track. As of September 30, 2024, 33 of the targeted 48 Phase 1 units have been completed. Average achieved post-renovation rent on completed units is $1,547 (2BR/2BA), which is $22 above the $1,525 underwriting assumption. The renovation program is on budget.</w:t>
      </w:r>
    </w:p>
    <w:p>
      <w:pPr>
        <w:spacing w:after="80" w:before="80"/>
        <w:ind/>
      </w:pPr>
      <w:r>
        <w:rPr>
          <w:rFonts w:ascii="Arial" w:cs="Arial" w:eastAsia="Arial" w:hAnsi="Arial"/>
          <w:sz w:val="20"/>
          <w:szCs w:val="20"/>
        </w:rPr>
        <w:t xml:space="preserve">Total revenue for Q3 2024 was $912,891, which exceeded budget by $34,211 (3.9%), driven primarily by above-underwriting rents on renovated units and stronger-than-expected lease renewal activity.</w:t>
      </w:r>
    </w:p>
    <w:p>
      <w:pPr>
        <w:pStyle w:val="Heading1"/>
        <w:spacing w:after="120" w:before="360"/>
      </w:pPr>
      <w:r>
        <w:rPr>
          <w:rFonts w:ascii="Arial" w:cs="Arial" w:eastAsia="Arial" w:hAnsi="Arial"/>
          <w:b/>
          <w:bCs/>
          <w:sz w:val="28"/>
          <w:szCs w:val="28"/>
        </w:rPr>
        <w:t xml:space="preserve">2. OCCUPANCY &amp; LEASING ACTIVITY</w:t>
      </w:r>
    </w:p>
    <w:p>
      <w:pPr>
        <w:spacing w:after="60" w:before="200"/>
      </w:pPr>
      <w:r>
        <w:rPr>
          <w:rFonts w:ascii="Arial" w:cs="Arial" w:eastAsia="Arial" w:hAnsi="Arial"/>
          <w:b/>
          <w:bCs/>
          <w:sz w:val="22"/>
          <w:szCs w:val="22"/>
        </w:rPr>
        <w:t xml:space="preserve">2.1 Occupancy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1680"/>
        <w:gridCol w:w="144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Metric</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Actual</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Budget</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Variance</w:t>
            </w:r>
          </w:p>
        </w:tc>
        <w:tc>
          <w:tcPr>
            <w:tcW w:type="dxa" w:w="14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Notes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Occupancy Rate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91.7% (220/240)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90.5%</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+1.2%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Best since acquisition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 In-Place Rent (all units)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$1,371/mo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$1,360/mo</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+$11/mo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Reno units driving upside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 Market Rent (unrenovated)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$1,325/mo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$1,335/mo</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7"/>
                <w:szCs w:val="17"/>
              </w:rPr>
              <w:t xml:space="preserve">-$10/mo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Minor softness offset by reno units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 Achieved Rent (renovated)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$1,547/mo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$1,525/mo</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+$22/mo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33 units completed YTD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Vacant Units (economic)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20 units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23 units</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+3 units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Better than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Move-Ins (Q3)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Strong lease-up velocity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Move-Outs (Q3)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Below-average turnover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Net New Leases (Q3)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+14 units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+10 units</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+4 units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Exceeds plan</w:t>
            </w:r>
          </w:p>
        </w:tc>
      </w:tr>
    </w:tbl>
    <w:p>
      <w:pPr>
        <w:spacing w:after="60" w:before="0"/>
      </w:pPr>
      <w:r>
        <w:t xml:space="preserve"/>
      </w:r>
    </w:p>
    <w:p>
      <w:pPr>
        <w:spacing w:after="60" w:before="200"/>
      </w:pPr>
      <w:r>
        <w:rPr>
          <w:rFonts w:ascii="Arial" w:cs="Arial" w:eastAsia="Arial" w:hAnsi="Arial"/>
          <w:b/>
          <w:bCs/>
          <w:sz w:val="22"/>
          <w:szCs w:val="22"/>
        </w:rPr>
        <w:t xml:space="preserve">2.2 Unit Mix Occupancy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200"/>
        <w:gridCol w:w="1200"/>
        <w:gridCol w:w="1200"/>
        <w:gridCol w:w="1200"/>
        <w:gridCol w:w="1200"/>
        <w:gridCol w:w="1440"/>
      </w:tblGrid>
      <w:tr>
        <w:tc>
          <w:tcPr>
            <w:tcW w:type="dxa" w:w="192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Unit Type</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Units</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Occupied</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Vacant</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Occupancy</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Avg Rent</w:t>
            </w:r>
          </w:p>
          <w:p>
            <w:r>
              <w:rPr>
                <w:rFonts w:ascii="Arial" w:cs="Arial" w:eastAsia="Arial" w:hAnsi="Arial"/>
                <w:b/>
                <w:bCs/>
                <w:sz w:val="17"/>
                <w:szCs w:val="17"/>
              </w:rPr>
              <w:br/>
              <w:t xml:space="preserve">(In-Place)</w:t>
            </w:r>
          </w:p>
        </w:tc>
        <w:tc>
          <w:tcPr>
            <w:tcW w:type="dxa" w:w="144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sz w:val="17"/>
                <w:szCs w:val="17"/>
              </w:rPr>
              <w:t xml:space="preserve">Avg Market</w:t>
            </w:r>
          </w:p>
          <w:p>
            <w:r>
              <w:rPr>
                <w:rFonts w:ascii="Arial" w:cs="Arial" w:eastAsia="Arial" w:hAnsi="Arial"/>
                <w:b/>
                <w:bCs/>
                <w:sz w:val="17"/>
                <w:szCs w:val="17"/>
              </w:rPr>
              <w:br/>
              <w:t xml:space="preserve">Rent</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1BR/1BA</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96</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89</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7</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92.7%</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$1,152</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$1,185</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2BR/2BA</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108</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100</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8</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92.6%</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$1,415</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$1,475</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3BR/2BA</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36</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31</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5</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86.1%</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$1,678</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$1,725</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240</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220</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20</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91.7%</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$1,371</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7"/>
                <w:szCs w:val="17"/>
              </w:rPr>
              <w:t xml:space="preserve">$1,421</w:t>
            </w:r>
          </w:p>
        </w:tc>
      </w:tr>
    </w:tbl>
    <w:p>
      <w:pPr>
        <w:pStyle w:val="Heading1"/>
        <w:spacing w:after="120" w:before="360"/>
      </w:pPr>
      <w:r>
        <w:rPr>
          <w:rFonts w:ascii="Arial" w:cs="Arial" w:eastAsia="Arial" w:hAnsi="Arial"/>
          <w:b/>
          <w:bCs/>
          <w:sz w:val="28"/>
          <w:szCs w:val="28"/>
        </w:rPr>
        <w:t xml:space="preserve">3. FINANCIAL PERFORMANCE</w:t>
      </w:r>
    </w:p>
    <w:p>
      <w:pPr>
        <w:spacing w:after="60" w:before="200"/>
      </w:pPr>
      <w:r>
        <w:rPr>
          <w:rFonts w:ascii="Arial" w:cs="Arial" w:eastAsia="Arial" w:hAnsi="Arial"/>
          <w:b/>
          <w:bCs/>
          <w:sz w:val="22"/>
          <w:szCs w:val="22"/>
        </w:rPr>
        <w:t xml:space="preserve">3.1 Q3 2024 Income &amp; Expense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1680"/>
        <w:gridCol w:w="144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Metric</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Actual</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Budget</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Variance</w:t>
            </w:r>
          </w:p>
        </w:tc>
        <w:tc>
          <w:tcPr>
            <w:tcW w:type="dxa" w:w="14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Notes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Gross Potential Rent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$985,680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$960,000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+$25,680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Higher avg rents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Less: Vacancy &amp; Credit Loss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($72,789)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($91,200)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+$18,411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7.4% vs. 9.5%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Effective Gross Revenue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$912,891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$868,800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+$44,091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Strong quarter</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Other Income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$31,450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$29,000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+$2,450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Pet/parking fees above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Total Revenue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$944,341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$897,800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+$46,541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Operating Expenses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$398,712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$405,000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+$6,288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Slightly below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NOI (Q3 2024)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$545,629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$492,800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+$52,829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+10.7% above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Debt Service (Q3 2024)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$434,435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$434,435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Interest only; on schedule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Cash Flow After 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$111,194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$58,365</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+$52,829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Swept to Cash Sweep Acct</w:t>
            </w:r>
          </w:p>
        </w:tc>
      </w:tr>
    </w:tbl>
    <w:p>
      <w:pPr>
        <w:spacing w:after="60" w:before="0"/>
      </w:pPr>
      <w:r>
        <w:t xml:space="preserve"/>
      </w:r>
    </w:p>
    <w:p>
      <w:pPr>
        <w:spacing w:after="60" w:before="200"/>
      </w:pPr>
      <w:r>
        <w:rPr>
          <w:rFonts w:ascii="Arial" w:cs="Arial" w:eastAsia="Arial" w:hAnsi="Arial"/>
          <w:b/>
          <w:bCs/>
          <w:sz w:val="22"/>
          <w:szCs w:val="22"/>
        </w:rPr>
        <w:t xml:space="preserve">3.2 Trailing 12-Month DSCR Calculation (as of September 30,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43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Amount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T12 Gross Revenue (Oct 2023 – Sep 2024)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$3,583,224</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T12 Operating Expenses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($1,384,783)</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T12 Net Operating Income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$2,198,441</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Annualized Debt Service (SOFR+285bps on $28.35M)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($1,733,738)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DSCR (T12 NOI / Annualized DS)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1.27x</w:t>
            </w:r>
          </w:p>
        </w:tc>
      </w:tr>
      <w:tr>
        <w:tc>
          <w:tcPr>
            <w:tcW w:type="dxa" w:w="50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sz w:val="18"/>
                <w:szCs w:val="18"/>
              </w:rPr>
              <w:t xml:space="preserve">Required DSCR for Cash Sweep Release</w:t>
            </w:r>
          </w:p>
        </w:tc>
        <w:tc>
          <w:tcPr>
            <w:tcW w:type="dxa" w:w="43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sz w:val="18"/>
                <w:szCs w:val="18"/>
              </w:rPr>
              <w:t xml:space="preserve">1.20x</w:t>
            </w:r>
          </w:p>
        </w:tc>
      </w:tr>
      <w:tr>
        <w:tc>
          <w:tcPr>
            <w:tcW w:type="dxa" w:w="50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18"/>
                <w:szCs w:val="18"/>
              </w:rPr>
              <w:t xml:space="preserve">DSCR above threshold?</w:t>
            </w:r>
          </w:p>
        </w:tc>
        <w:tc>
          <w:tcPr>
            <w:tcW w:type="dxa" w:w="43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sz w:val="18"/>
                <w:szCs w:val="18"/>
              </w:rPr>
              <w:t xml:space="preserve">YES — 1st of 2 consecutive quarters met</w:t>
            </w:r>
          </w:p>
        </w:tc>
      </w:tr>
    </w:tbl>
    <w:p>
      <w:pPr>
        <w:pStyle w:val="Heading1"/>
        <w:spacing w:after="120" w:before="360"/>
      </w:pPr>
      <w:r>
        <w:rPr>
          <w:rFonts w:ascii="Arial" w:cs="Arial" w:eastAsia="Arial" w:hAnsi="Arial"/>
          <w:b/>
          <w:bCs/>
          <w:sz w:val="28"/>
          <w:szCs w:val="28"/>
        </w:rPr>
        <w:t xml:space="preserve">4. CAPITAL RENOVATION PROGRAM</w:t>
      </w:r>
    </w:p>
    <w:p>
      <w:pPr>
        <w:spacing w:after="60" w:before="200"/>
      </w:pPr>
      <w:r>
        <w:rPr>
          <w:rFonts w:ascii="Arial" w:cs="Arial" w:eastAsia="Arial" w:hAnsi="Arial"/>
          <w:b/>
          <w:bCs/>
          <w:sz w:val="22"/>
          <w:szCs w:val="22"/>
        </w:rPr>
        <w:t xml:space="preserve">4.1 Phase 1 Status (as of September 30,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1680"/>
        <w:gridCol w:w="144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Metric</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Actual</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Q3 2024</w:t>
            </w:r>
          </w:p>
          <w:p>
            <w:r>
              <w:rPr>
                <w:rFonts w:ascii="Arial" w:cs="Arial" w:eastAsia="Arial" w:hAnsi="Arial"/>
                <w:b/>
                <w:bCs/>
                <w:sz w:val="17"/>
                <w:szCs w:val="17"/>
              </w:rPr>
              <w:br/>
              <w:t xml:space="preserve">Budget</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Variance</w:t>
            </w:r>
          </w:p>
        </w:tc>
        <w:tc>
          <w:tcPr>
            <w:tcW w:type="dxa" w:w="14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7"/>
                <w:szCs w:val="17"/>
              </w:rPr>
              <w:t xml:space="preserve">Notes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Phase 1 Units Completed (YTD)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33 of 48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48</w:t>
            </w:r>
          </w:p>
        </w:tc>
        <w:tc>
          <w:tcPr>
            <w:tcW w:type="dxa" w:w="1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7"/>
                <w:szCs w:val="17"/>
              </w:rPr>
              <w:t xml:space="preserve">-15 units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On track for Dec completion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 Renovation Cost per Unit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$24,650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$25,000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+$350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Slightly under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Avg Achieved Post-Reno Rent (2BR)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$1,547/mo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$1,525/mo</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+$22/mo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Above underwriting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Actual Renovation Spend (YTD)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$813,450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$879,000</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+$65,550 favorable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Under budget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Remaining Phase 1 Budget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$1,440,000 - $813,450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1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17"/>
                <w:szCs w:val="17"/>
              </w:rPr>
              <w:t xml:space="preserve">$626,550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Sufficient for 15 units</w:t>
            </w:r>
          </w:p>
        </w:tc>
      </w:tr>
    </w:tbl>
    <w:p>
      <w:pPr>
        <w:spacing w:after="60" w:before="0"/>
      </w:pPr>
      <w:r>
        <w:t xml:space="preserve"/>
      </w:r>
    </w:p>
    <w:p>
      <w:pPr>
        <w:spacing w:after="80" w:before="80"/>
        <w:ind/>
      </w:pPr>
      <w:r>
        <w:rPr>
          <w:rFonts w:ascii="Arial" w:cs="Arial" w:eastAsia="Arial" w:hAnsi="Arial"/>
          <w:sz w:val="20"/>
          <w:szCs w:val="20"/>
        </w:rPr>
        <w:t xml:space="preserve">Status Note: Phase 1 is 68.8% complete (33/48 units). The primary cause of the 15-unit shortfall vs. the Q3 midpoint target is a 3-week contractor delay in August due to a supply chain issue with quartz countertops (now resolved with an alternative supplier). All 48 units are expected to be completed by December 15, 2024. No budget impact anticipated.</w:t>
      </w:r>
    </w:p>
    <w:p>
      <w:pPr>
        <w:pStyle w:val="Heading1"/>
        <w:spacing w:after="120" w:before="360"/>
      </w:pPr>
      <w:r>
        <w:rPr>
          <w:rFonts w:ascii="Arial" w:cs="Arial" w:eastAsia="Arial" w:hAnsi="Arial"/>
          <w:b/>
          <w:bCs/>
          <w:sz w:val="28"/>
          <w:szCs w:val="28"/>
        </w:rPr>
        <w:t xml:space="preserve">5. CASH MANAGEMENT &amp; SWEEP STATUS</w:t>
      </w:r>
    </w:p>
    <w:p>
      <w:pPr>
        <w:spacing w:after="80" w:before="80"/>
        <w:ind/>
      </w:pPr>
      <w:r>
        <w:rPr>
          <w:rFonts w:ascii="Arial" w:cs="Arial" w:eastAsia="Arial" w:hAnsi="Arial"/>
          <w:sz w:val="20"/>
          <w:szCs w:val="20"/>
        </w:rPr>
        <w:t xml:space="preserve">Cash Sweep Status: ACTIVE as of September 30, 2024. Total amount swept to Cash Sweep Account (Account XXXX-8825) since origination: $287,419. Per the Cash Management Agreement, Lender is holding swept funds as additional security.</w:t>
      </w:r>
    </w:p>
    <w:p>
      <w:pPr>
        <w:spacing w:after="80" w:before="80"/>
        <w:ind/>
      </w:pPr>
      <w:r>
        <w:rPr>
          <w:rFonts w:ascii="Arial" w:cs="Arial" w:eastAsia="Arial" w:hAnsi="Arial"/>
          <w:sz w:val="20"/>
          <w:szCs w:val="20"/>
        </w:rPr>
        <w:t xml:space="preserve">Q4 2024 Cash Sweep Release Outlook: Based on current trailing NOI trajectory, management projects Q4 2024 DSCR will range from 1.28x to 1.32x, which would satisfy the 1.20x threshold for the SECOND consecutive qualifying quarter. If Q4 DSCR meets the threshold, Lender will review the Cash Sweep Release Conditions in January 2025, and, if all conditions are met (DSCR &gt;= 1.20x x2 consecutive quarters AND occupancy &gt;= 90%), the Cash Sweep will be released. Management is cautiously optimistic that this release will occur in Q1 2025.</w:t>
      </w:r>
    </w:p>
    <w:p>
      <w:pPr>
        <w:pStyle w:val="Heading1"/>
        <w:spacing w:after="120" w:before="360"/>
      </w:pPr>
      <w:r>
        <w:rPr>
          <w:rFonts w:ascii="Arial" w:cs="Arial" w:eastAsia="Arial" w:hAnsi="Arial"/>
          <w:b/>
          <w:bCs/>
          <w:sz w:val="28"/>
          <w:szCs w:val="28"/>
        </w:rPr>
        <w:t xml:space="preserve">6. FORWARD-LOOKING PRIORITIES (Q4 2024)</w:t>
      </w:r>
    </w:p>
    <w:p>
      <w:pPr>
        <w:spacing w:after="80" w:before="80"/>
        <w:ind/>
      </w:pPr>
      <w:r>
        <w:rPr>
          <w:rFonts w:ascii="Arial" w:cs="Arial" w:eastAsia="Arial" w:hAnsi="Arial"/>
          <w:sz w:val="20"/>
          <w:szCs w:val="20"/>
        </w:rPr>
        <w:t xml:space="preserve">1. Complete final 15 Phase 1 renovation units (target: December 15, 2024).</w:t>
      </w:r>
    </w:p>
    <w:p>
      <w:pPr>
        <w:spacing w:after="80" w:before="80"/>
        <w:ind/>
      </w:pPr>
      <w:r>
        <w:rPr>
          <w:rFonts w:ascii="Arial" w:cs="Arial" w:eastAsia="Arial" w:hAnsi="Arial"/>
          <w:sz w:val="20"/>
          <w:szCs w:val="20"/>
        </w:rPr>
        <w:t xml:space="preserve">2. Drive occupancy to 93%+ by year-end through concession program (0.5 month free on 12-month leases).</w:t>
      </w:r>
    </w:p>
    <w:p>
      <w:pPr>
        <w:spacing w:after="80" w:before="80"/>
        <w:ind/>
      </w:pPr>
      <w:r>
        <w:rPr>
          <w:rFonts w:ascii="Arial" w:cs="Arial" w:eastAsia="Arial" w:hAnsi="Arial"/>
          <w:sz w:val="20"/>
          <w:szCs w:val="20"/>
        </w:rPr>
        <w:t xml:space="preserve">3. Execute Q4 DSCR certification by November 15, 2024 covering Q4 test date.</w:t>
      </w:r>
    </w:p>
    <w:p>
      <w:pPr>
        <w:spacing w:after="80" w:before="80"/>
        <w:ind/>
      </w:pPr>
      <w:r>
        <w:rPr>
          <w:rFonts w:ascii="Arial" w:cs="Arial" w:eastAsia="Arial" w:hAnsi="Arial"/>
          <w:sz w:val="20"/>
          <w:szCs w:val="20"/>
        </w:rPr>
        <w:t xml:space="preserve">4. Submit 2025 Annual Operating Budget to Owner and Lender by November 15, 2024.</w:t>
      </w:r>
    </w:p>
    <w:p>
      <w:pPr>
        <w:spacing w:after="80" w:before="80"/>
        <w:ind/>
      </w:pPr>
      <w:r>
        <w:rPr>
          <w:rFonts w:ascii="Arial" w:cs="Arial" w:eastAsia="Arial" w:hAnsi="Arial"/>
          <w:sz w:val="20"/>
          <w:szCs w:val="20"/>
        </w:rPr>
        <w:t xml:space="preserve">5. Commence Phase 2 renovation planning: solicit bids for clubhouse and fitness center upgrades.</w:t>
      </w:r>
    </w:p>
    <w:p>
      <w:pPr>
        <w:spacing w:after="80" w:before="80"/>
        <w:ind/>
      </w:pPr>
      <w:r>
        <w:rPr>
          <w:rFonts w:ascii="Arial" w:cs="Arial" w:eastAsia="Arial" w:hAnsi="Arial"/>
          <w:sz w:val="20"/>
          <w:szCs w:val="20"/>
        </w:rPr>
        <w:t xml:space="preserve">6. Engage exit broker for preliminary market feedback and timing assessment.</w:t>
      </w:r>
    </w:p>
    <w:p>
      <w:pPr>
        <w:spacing w:after="80" w:before="80"/>
        <w:ind/>
      </w:pPr>
      <w:r>
        <w:rPr>
          <w:rFonts w:ascii="Arial" w:cs="Arial" w:eastAsia="Arial" w:hAnsi="Arial"/>
          <w:b w:val="false"/>
          <w:bCs w:val="false"/>
          <w:sz w:val="20"/>
          <w:szCs w:val="20"/>
        </w:rPr>
        <w:t xml:space="preserve">Report prepared by: Meridian Capital Group LLC — Asset Management</w:t>
      </w:r>
    </w:p>
    <w:p>
      <w:pPr>
        <w:spacing w:after="80" w:before="80"/>
        <w:ind/>
      </w:pPr>
      <w:r>
        <w:rPr>
          <w:rFonts w:ascii="Arial" w:cs="Arial" w:eastAsia="Arial" w:hAnsi="Arial"/>
          <w:sz w:val="20"/>
          <w:szCs w:val="20"/>
        </w:rPr>
        <w:t xml:space="preserve">Reporting period: Q3 2024 (July 1 – September 30, 2024) | Issued: October 14,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2026-03-05T20:45:03.754Z</dcterms:created>
  <dcterms:modified xsi:type="dcterms:W3CDTF">2026-03-05T20:45:03.755Z</dcterms:modified>
</cp:coreProperties>
</file>

<file path=docProps/custom.xml><?xml version="1.0" encoding="utf-8"?>
<Properties xmlns="http://schemas.openxmlformats.org/officeDocument/2006/custom-properties" xmlns:vt="http://schemas.openxmlformats.org/officeDocument/2006/docPropsVTypes"/>
</file>