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VALUATION MEMORANDUM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22"/>
          <w:szCs w:val="22"/>
        </w:rPr>
        <w:t xml:space="preserve">INTERNAL ASSET MANAGEMENT — MARK-TO-MARKET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 of: September 30, 2024 | Prepared: October 2024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TO: Meridian Capital Group LLC — Asset Management Committee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FROM: Meridian Capital Group LLC — Research &amp; Valuation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RE: Internal Mark-to-Market Valuation — Cascade Ridge Apartments, Aurora, CO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October 2024</w:t>
      </w:r>
    </w:p>
    <w:p>
      <w:pPr>
        <w:spacing w:after="80" w:before="80"/>
        <w:ind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CLASSIFICATION: Confidential — For Internal Use and Lender Reporting Only</w:t>
      </w:r>
    </w:p>
    <w:p>
      <w:pPr>
        <w:spacing w:after="60" w:before="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I. SUMMARY OF CONCLUSIONS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504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Property: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Cascade Ridge Apartments, 4200 Cascade Ridge Drive, Aurora, CO 80011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Valuation Date: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September 30, 2024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Units: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240 (96 1BR | 108 2BR | 36 3BR)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Trailing 12-Month NOI: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$2,198,441 (per October 2024 DSCR Certificate)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Market Cap Rate (Current):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5.65%–5.80% (comparable Class B/B+ sales, SE Denver metro, Q3 2024)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Indicated As-Is Value (Income Approach):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$38,600,000 – $39,400,000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Concluded As-Is Value: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$39,000,000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Prior Appraisal (Mountain West, Feb 2024):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$38,200,000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Change vs. Prior Appraisal: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+$800,000 (+2.1%) — driven by NOI improvement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Loan Balance (as of 9/30/2024):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$28,350,000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Implied LTV (Current):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72.7% (improving; was 74.2% at origination)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Stabilized NOI Projection (Year 3):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$2,740,000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Stabilized Value (5.50% cap):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$49,818,000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Equity Value (stabilized, after loan repayment):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$21,468,000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II. INCOME APPROACH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Direct Capitalization Method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The income approach — specifically the direct capitalization method — is the primary valuation methodology for stabilized income-producing multifamily properties and is assigned the most weight in this analysis.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1: Estimate Stabilized Net Operating Income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Income / Expense Item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T12 Actual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(ending Sep 30, 2024)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Stabilized</w:t>
            </w:r>
          </w:p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br/>
              <w:t xml:space="preserve">(Analyst Adj.)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Gross Potential Rent (240 units)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$3,821,760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$4,380,960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Less: Vacancy &amp; Credit Loss (6.5% / 6.0%)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($248,414)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($262,858)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Effective Gross Revenue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$3,573,346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$4,118,102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Other Income (fees, parking, pet)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$121,500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$140,000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EFFECTIVE GROSS INCOME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$3,694,846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$4,258,102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Operating Expenses: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Payroll &amp; Benefits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($682,200)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($710,000)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Repairs &amp; Maintenance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($267,480)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($270,000)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Contract Services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($168,960)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($175,000)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Utilities (common area)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($151,440)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($155,000)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Management Fee (4.5%)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($166,268)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($191,615)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Insurance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($61,500)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($63,000)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  Property Taxes (estimated 2025)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($198,557)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($163,087)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 OPERATING EXPENSES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($1,496,405)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($1,727,702)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NET OPERATING INCOME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$2,198,441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$2,530,400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Replacement Reserve ($350/unit)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($84,000)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($84,000)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ADJUSTED NOI (For Cap Rate Analysis)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$2,114,441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$2,446,400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2: Select Capitalization Rate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Market Data: Six comparable multifamily transactions in the Southeast Denver metro (Arapahoe County and Adams County) closed between Q2 and Q4 2024 (preliminary):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200"/>
        <w:gridCol w:w="1200"/>
        <w:gridCol w:w="1200"/>
        <w:gridCol w:w="15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Property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Units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Sale Price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Price/Unit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NOI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Cap Rate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Ridgeline at Buckley (Aurora)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204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$39,200,000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$192,157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$2,185,800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5.58%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Copper Creek (Aurora)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$34,560,000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$192,000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$1,937,900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5.61%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Highpoint at Arapahoe (Centennial)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228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$44,670,000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$195,921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$2,501,520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5.60%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Horizon Place (Greenwood Village)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150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$31,200,000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$208,000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$1,776,000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5.69%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Parkway Commons (Aurora)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186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$36,478,000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$196,118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$2,082,246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5.71%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Saddle Ridge (Parker)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120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$25,440,000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$212,000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$1,475,520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5.80%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Range / Average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$199,366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5.58%–5.80%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Selected Cap Rate: 5.65%. Cascade Ridge is positioned slightly below market-average due to: (i) active renovation program reducing near-term uncertainty; (ii) strong submarket fundamentals (5.8% vacancy); and (iii) DSCR now above 1.20x. Slight premium to the tightest comp (5.58%) is warranted given the ongoing capital program.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Step 3: Value Indication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0"/>
        <w:gridCol w:w="2520"/>
        <w:gridCol w:w="2520"/>
      </w:tblGrid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Scenario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Adjusted NOI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Indicated Value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As-Is (T12 NOI, 5.65% cap rate)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$2,114,441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$37,423,000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As-Is (T12 NOI, 5.75% cap rate)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$2,114,441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$36,773,000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As-Is (T12 NOI, 5.80% cap rate)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$2,114,441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$36,456,000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As-Stabilized (Adj NOI, 5.50% cap rate)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$2,446,400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$44,480,000</w:t>
            </w:r>
          </w:p>
        </w:tc>
      </w:tr>
      <w:tr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As-Stabilized (Adj NOI, 5.65% cap rate)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$2,446,400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$43,299,000</w:t>
            </w:r>
          </w:p>
        </w:tc>
      </w:tr>
    </w:tbl>
    <w:p>
      <w:pPr>
        <w:spacing w:after="6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Reconciled Value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Given the strong Q3 performance, improving NOI trajectory, and active renovation program, this analysis weights the as-is direct cap approach most heavily and applies a modest upward adjustment to reflect the lease-up momentum and above-budget rent achievement. Concluded as-is value: $39,000,000.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III. SALES COMPARISON APPROACH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On a price-per-unit basis, Cascade Ridge indicated value of $39,000,000 implies $162,500 per unit. The comparable sales range from $192,000 to $212,000 per unit, suggesting an 18–24% discount to market on a price-per-unit basis. This discount is appropriate given: (i) the property is in active renovation and not stabilized; (ii) in-place occupancy of 91.7% is below stabilized 93–95%; and (iii) current in-place rents are below market. As renovation and lease-up are completed, the price-per-unit gap is expected to narrow significantly.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IV. ANALYST NOTES AND CAVEATS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1. This memorandum represents an internal mark-to-market estimate and does not constitute an appraisal as defined by USPAP. It should not be used for mortgage lending or third-party reporting purposes.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2. The analysis is based on internally generated financial data and publicly available comparable transaction data. Cap rates reflect preliminary Q3 2024 market information and may be subject to revision.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3. Property tax estimate for 2025 reflects anticipated Arapahoe County reassessment based on sale at $38.2M. Actual assessed value may vary.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4. Stabilized NOI projection incorporates fully executed renovation program and 93.5% occupancy. Actual stabilization timeline is subject to market conditions and execution risk.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5. A third-party FIRREA-compliant appraisal will be required if the loan is extended or if a refinancing event is contemplated.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Prepared by: Meridian Capital Group LLC — Research and Valuation | October 2024</w:t>
      </w:r>
    </w:p>
    <w:p>
      <w:pPr>
        <w:spacing w:after="80" w:before="80"/>
        <w:ind/>
      </w:pPr>
      <w:r>
        <w:rPr>
          <w:rFonts w:ascii="Arial" w:cs="Arial" w:eastAsia="Arial" w:hAnsi="Arial"/>
          <w:sz w:val="20"/>
          <w:szCs w:val="20"/>
        </w:rPr>
        <w:t xml:space="preserve">CONFIDENTIAL — FOR INTERNAL USE AND LENDER REPORTING ONLY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2026-03-05T20:45:04.190Z</dcterms:created>
  <dcterms:modified xsi:type="dcterms:W3CDTF">2026-03-05T20:45:04.190Z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