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Northgate Student Commons Underwriting Memo</w:t>
      </w:r>
    </w:p>
    <w:p>
      <w:r>
        <w:t xml:space="preserve">Northgate Student Commons is categorized as student_housing in Austin, TX.</w:t>
      </w:r>
    </w:p>
    <w:p>
      <w:r>
        <w:t xml:space="preserve">Q1 2026 NOI is $1,060,000, stabilized value is $24,100,000, and debt outstanding is $15,200,000.</w:t>
      </w:r>
    </w:p>
    <w:p>
      <w:r>
        <w:t xml:space="preserve">Current DSCR is 1.51x and WALT is 0.8 years.</w:t>
      </w:r>
    </w:p>
    <w:p>
      <w:r>
        <w:t xml:space="preserve">The underwriting conclusion supports the current valuation so long as NOI and occupancy remain within the underwritten range.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/Relationships>
</file>