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60" w:before="0"/></w:pPr><w:r><w:t xml:space="preserve"></w:t></w:r></w:p><w:p><w:pPr><w:spacing w:after="60" w:before="0"/></w:pPr><w:r><w:t xml:space="preserve"></w:t></w:r></w:p><w:p><w:pPr><w:spacing w:after="240" w:before="480"/><w:jc w:val="center"/></w:pPr><w:r><w:rPr><w:rFonts w:ascii="Arial" w:cs="Arial" w:eastAsia="Arial" w:hAnsi="Arial"/><w:b/><w:bCs/><w:color w:val="1F3864"/><w:sz w:val="48"/><w:szCs w:val="48"/></w:rPr><w:t xml:space="preserve">LOAN AGREEMENT</w:t></w:r></w:p><w:p><w:pPr><w:spacing w:after="120" w:before="0"/><w:jc w:val="center"/></w:pPr><w:r><w:rPr><w:rFonts w:ascii="Arial" w:cs="Arial" w:eastAsia="Arial" w:hAnsi="Arial"/><w:color w:val="2E5090"/><w:sz w:val="28"/><w:szCs w:val="28"/></w:rPr><w:t xml:space="preserve">Cascade Ridge Apartments</w:t></w:r></w:p><w:p><w:pPr><w:spacing w:after="480" w:before="0"/><w:jc w:val="center"/></w:pPr><w:r><w:rPr><w:rFonts w:ascii="Arial" w:cs="Arial" w:eastAsia="Arial" w:hAnsi="Arial"/><w:color w:val="555555"/><w:sz w:val="22"/><w:szCs w:val="22"/></w:rPr><w:t xml:space="preserve">4200 Cascade Ridge Drive, Aurora, Colorado 80011</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w:bCs/><w:sz w:val="20"/><w:szCs w:val="20"/></w:rPr><w:t xml:space="preserve">Borrower:</w:t></w:r></w:p></w:tc><w:tc><w:tcPr><w:tcW w:type="dxa" w:w="468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20"/><w:szCs w:val="20"/></w:rPr><w:t xml:space="preserve">Meridian Capital Holdings IV LLC</w:t></w:r></w:p></w:tc></w:tr><w:tr><w:tc><w:tcPr><w:tcW w:type="dxa" w:w="468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w:bCs/><w:sz w:val="20"/><w:szCs w:val="20"/></w:rPr><w:t xml:space="preserve">Lender:</w:t></w:r></w:p></w:tc><w:tc><w:tcPr><w:tcW w:type="dxa" w:w="468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20"/><w:szCs w:val="20"/></w:rPr><w:t xml:space="preserve">Hartwell Capital Partners LLC</w:t></w:r></w:p></w:tc></w:tr><w:tr><w:tc><w:tcPr><w:tcW w:type="dxa" w:w="468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w:bCs/><w:sz w:val="20"/><w:szCs w:val="20"/></w:rPr><w:t xml:space="preserve">Loan Amount:</w:t></w:r></w:p></w:tc><w:tc><w:tcPr><w:tcW w:type="dxa" w:w="468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20"/><w:szCs w:val="20"/></w:rPr><w:t xml:space="preserve">$28,350,000</w:t></w:r></w:p></w:tc></w:tr><w:tr><w:tc><w:tcPr><w:tcW w:type="dxa" w:w="468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w:bCs/><w:sz w:val="20"/><w:szCs w:val="20"/></w:rPr><w:t xml:space="preserve">Interest Rate:</w:t></w:r></w:p></w:tc><w:tc><w:tcPr><w:tcW w:type="dxa" w:w="468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20"/><w:szCs w:val="20"/></w:rPr><w:t xml:space="preserve">SOFR + 285 basis points (floor: 0.50%)</w:t></w:r></w:p></w:tc></w:tr><w:tr><w:tc><w:tcPr><w:tcW w:type="dxa" w:w="468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w:bCs/><w:sz w:val="20"/><w:szCs w:val="20"/></w:rPr><w:t xml:space="preserve">Maturity Date:</w:t></w:r></w:p></w:tc><w:tc><w:tcPr><w:tcW w:type="dxa" w:w="468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20"/><w:szCs w:val="20"/></w:rPr><w:t xml:space="preserve">April 1, 2027</w:t></w:r></w:p></w:tc></w:tr><w:tr><w:tc><w:tcPr><w:tcW w:type="dxa" w:w="468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w:bCs/><w:sz w:val="20"/><w:szCs w:val="20"/></w:rPr><w:t xml:space="preserve">Origination Date:</w:t></w:r></w:p></w:tc><w:tc><w:tcPr><w:tcW w:type="dxa" w:w="468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20"/><w:szCs w:val="20"/></w:rPr><w:t xml:space="preserve">March 15, 2024</w:t></w:r></w:p></w:tc></w:tr><w:tr><w:tc><w:tcPr><w:tcW w:type="dxa" w:w="4680"/><w:tcBorders><w:top w:val="single" w:color="CCCCCC" w:sz="1"/><w:left w:val="single" w:color="CCCCCC" w:sz="1"/><w:bottom w:val="single" w:color="CCCCCC" w:sz="1"/><w:right w:val="single" w:color="CCCCCC" w:sz="1"/></w:tcBorders><w:shd w:fill="F5F5F5" w:val="clear"/><w:tcMar><w:top w:type="dxa" w:w="80"/><w:left w:type="dxa" w:w="120"/><w:bottom w:type="dxa" w:w="80"/><w:right w:type="dxa" w:w="120"/></w:tcMar></w:tcPr><w:p><w:r><w:rPr><w:rFonts w:ascii="Arial" w:cs="Arial" w:eastAsia="Arial" w:hAnsi="Arial"/><w:b/><w:bCs/><w:sz w:val="20"/><w:szCs w:val="20"/></w:rPr><w:t xml:space="preserve">Loan Type:</w:t></w:r></w:p></w:tc><w:tc><w:tcPr><w:tcW w:type="dxa" w:w="468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20"/><w:szCs w:val="20"/></w:rPr><w:t xml:space="preserve">Bridge Loan — Interest Only</w:t></w:r></w:p></w:tc></w:tr></w:tbl><w:p><w:pPr><w:spacing w:after="60" w:before="0"/></w:pPr><w:r><w:t xml:space="preserve"></w:t></w:r></w:p><w:p><w:pPr><w:spacing w:after="60" w:before="0"/></w:pPr><w:r><w:t xml:space="preserve"></w:t></w:r></w:p><w:p><w:pPr><w:spacing w:after="60" w:before="240"/><w:jc w:val="center"/></w:pPr><w:r><w:rPr><w:rFonts w:ascii="Arial" w:cs="Arial" w:eastAsia="Arial" w:hAnsi="Arial"/><w:color w:val="666666"/><w:sz w:val="18"/><w:szCs w:val="18"/></w:rPr><w:t xml:space="preserve">Prepared by: Caldwell &amp; Pierce LLP</w:t></w:r></w:p><w:p><w:pPr><w:spacing w:after="480" w:before="0"/><w:jc w:val="center"/></w:pPr><w:r><w:rPr><w:rFonts w:ascii="Arial" w:cs="Arial" w:eastAsia="Arial" w:hAnsi="Arial"/><w:color w:val="666666"/><w:sz w:val="18"/><w:szCs w:val="18"/></w:rPr><w:t xml:space="preserve">March 15, 2024</w:t></w:r></w:p><w:p><w:r><w:br w:type="page"/></w:r></w:p><w:p><w:pPr><w:pStyle w:val="Heading1"/><w:spacing w:after="120" w:before="360"/></w:pPr><w:r><w:rPr><w:rFonts w:ascii="Arial" w:cs="Arial" w:eastAsia="Arial" w:hAnsi="Arial"/><w:b/><w:bCs/><w:sz w:val="28"/><w:szCs w:val="28"/></w:rPr><w:t xml:space="preserve">ARTICLE 1
DEFINITIONS</w:t></w:r></w:p><w:p><w:pPr><w:spacing w:after="60" w:before="60"/><w:ind/></w:pPr><w:r><w:rPr><w:rFonts w:ascii="Arial" w:cs="Arial" w:eastAsia="Arial" w:hAnsi="Arial"/><w:sz w:val="20"/><w:szCs w:val="20"/></w:rPr><w:t xml:space="preserve">As used in this Agreement, the following terms shall have the meanings set forth below:</w:t></w:r></w:p><w:p><w:pPr><w:spacing w:after="60" w:before="0"/></w:pPr><w:r><w:t xml:space="preserve"></w:t></w:r></w:p><w:p><w:pPr><w:spacing w:after="80" w:before="80"/><w:ind w:left="720" w:hanging="720"/></w:pPr><w:r><w:rPr><w:rFonts w:ascii="Arial" w:cs="Arial" w:eastAsia="Arial" w:hAnsi="Arial"/><w:b/><w:bCs/><w:sz w:val="20"/><w:szCs w:val="20"/></w:rPr><w:t xml:space="preserve">&quot;Affiliate&quot;</w:t></w:r><w:r><w:rPr><w:rFonts w:ascii="Arial" w:cs="Arial" w:eastAsia="Arial" w:hAnsi="Arial"/><w:sz w:val="20"/><w:szCs w:val="20"/></w:rPr><w:t xml:space="preserve"> means with respect to any Person, any other Person that, directly or indirectly through one or more intermediaries, Controls, is Controlled by, or is under common Control with such Person.</w:t></w:r></w:p><w:p><w:pPr><w:spacing w:after="80" w:before="80"/><w:ind w:left="720" w:hanging="720"/></w:pPr><w:r><w:rPr><w:rFonts w:ascii="Arial" w:cs="Arial" w:eastAsia="Arial" w:hAnsi="Arial"/><w:b/><w:bCs/><w:sz w:val="20"/><w:szCs w:val="20"/></w:rPr><w:t xml:space="preserve">&quot;Agreement&quot;</w:t></w:r><w:r><w:rPr><w:rFonts w:ascii="Arial" w:cs="Arial" w:eastAsia="Arial" w:hAnsi="Arial"/><w:sz w:val="20"/><w:szCs w:val="20"/></w:rPr><w:t xml:space="preserve"> means this Loan Agreement, dated as of March 15, 2024, among Borrower, Guarantor, and Lender, as the same may be amended, restated, supplemented, or otherwise modified from time to time.</w:t></w:r></w:p><w:p><w:pPr><w:spacing w:after="80" w:before="80"/><w:ind w:left="720" w:hanging="720"/></w:pPr><w:r><w:rPr><w:rFonts w:ascii="Arial" w:cs="Arial" w:eastAsia="Arial" w:hAnsi="Arial"/><w:b/><w:bCs/><w:sz w:val="20"/><w:szCs w:val="20"/></w:rPr><w:t xml:space="preserve">&quot;Approved Annual Budget&quot;</w:t></w:r><w:r><w:rPr><w:rFonts w:ascii="Arial" w:cs="Arial" w:eastAsia="Arial" w:hAnsi="Arial"/><w:sz w:val="20"/><w:szCs w:val="20"/></w:rPr><w:t xml:space="preserve"> means the annual operating budget for the Property approved by Lender pursuant to Section 5.6 hereof, which budget sets forth anticipated revenues, operating expenses, capital expenditures, and debt service obligations for the applicable Fiscal Year.</w:t></w:r></w:p><w:p><w:pPr><w:spacing w:after="80" w:before="80"/><w:ind w:left="720" w:hanging="720"/></w:pPr><w:r><w:rPr><w:rFonts w:ascii="Arial" w:cs="Arial" w:eastAsia="Arial" w:hAnsi="Arial"/><w:b/><w:bCs/><w:sz w:val="20"/><w:szCs w:val="20"/></w:rPr><w:t xml:space="preserve">&quot;Borrower&quot;</w:t></w:r><w:r><w:rPr><w:rFonts w:ascii="Arial" w:cs="Arial" w:eastAsia="Arial" w:hAnsi="Arial"/><w:sz w:val="20"/><w:szCs w:val="20"/></w:rPr><w:t xml:space="preserve"> means Meridian Capital Holdings IV LLC, a Delaware limited liability company.</w:t></w:r></w:p><w:p><w:pPr><w:spacing w:after="80" w:before="80"/><w:ind w:left="720" w:hanging="720"/></w:pPr><w:r><w:rPr><w:rFonts w:ascii="Arial" w:cs="Arial" w:eastAsia="Arial" w:hAnsi="Arial"/><w:b/><w:bCs/><w:sz w:val="20"/><w:szCs w:val="20"/></w:rPr><w:t xml:space="preserve">&quot;Business Day&quot;</w:t></w:r><w:r><w:rPr><w:rFonts w:ascii="Arial" w:cs="Arial" w:eastAsia="Arial" w:hAnsi="Arial"/><w:sz w:val="20"/><w:szCs w:val="20"/></w:rPr><w:t xml:space="preserve"> means any day other than a Saturday, Sunday, or day on which commercial banks in the State of Colorado are authorized or required to be closed.</w:t></w:r></w:p><w:p><w:pPr><w:spacing w:after="80" w:before="80"/><w:ind w:left="720" w:hanging="720"/></w:pPr><w:r><w:rPr><w:rFonts w:ascii="Arial" w:cs="Arial" w:eastAsia="Arial" w:hAnsi="Arial"/><w:b/><w:bCs/><w:sz w:val="20"/><w:szCs w:val="20"/></w:rPr><w:t xml:space="preserve">&quot;Capital Expenditure Reserve&quot;</w:t></w:r><w:r><w:rPr><w:rFonts w:ascii="Arial" w:cs="Arial" w:eastAsia="Arial" w:hAnsi="Arial"/><w:sz w:val="20"/><w:szCs w:val="20"/></w:rPr><w:t xml:space="preserve"> means funds in the amount of $4,200,000 deposited by Borrower with Lender at Closing and held in a segregated account by Lender, to be disbursed by Lender pursuant to Section 2.9 for approved renovation work at the Property.</w:t></w:r></w:p><w:p><w:pPr><w:spacing w:after="80" w:before="80"/><w:ind w:left="720" w:hanging="720"/></w:pPr><w:r><w:rPr><w:rFonts w:ascii="Arial" w:cs="Arial" w:eastAsia="Arial" w:hAnsi="Arial"/><w:b/><w:bCs/><w:sz w:val="20"/><w:szCs w:val="20"/></w:rPr><w:t xml:space="preserve">&quot;Cash Sweep Release Conditions&quot;</w:t></w:r><w:r><w:rPr><w:rFonts w:ascii="Arial" w:cs="Arial" w:eastAsia="Arial" w:hAnsi="Arial"/><w:sz w:val="20"/><w:szCs w:val="20"/></w:rPr><w:t xml:space="preserve"> means the following conditions must each be satisfied before Lender will release the Cash Sweep Account balance to Borrower: (i) the Debt Service Coverage Ratio, as calculated on a trailing twelve (12) month basis as of the most recent Quarterly Test Date, equals or exceeds 1.20x for two (2) consecutive calendar quarters; (ii) Occupancy is at least ninety percent (90%) as of the most recent monthly measurement date; and (iii) no Event of Default has occurred and is continuing.</w:t></w:r></w:p><w:p><w:pPr><w:spacing w:after="80" w:before="80"/><w:ind w:left="720" w:hanging="720"/></w:pPr><w:r><w:rPr><w:rFonts w:ascii="Arial" w:cs="Arial" w:eastAsia="Arial" w:hAnsi="Arial"/><w:b/><w:bCs/><w:sz w:val="20"/><w:szCs w:val="20"/></w:rPr><w:t xml:space="preserve">&quot;Cash Sweep Trigger Event&quot;</w:t></w:r><w:r><w:rPr><w:rFonts w:ascii="Arial" w:cs="Arial" w:eastAsia="Arial" w:hAnsi="Arial"/><w:sz w:val="20"/><w:szCs w:val="20"/></w:rPr><w:t xml:space="preserve"> means the occurrence of any of the following: (i) the Debt Service Coverage Ratio, as calculated on a trailing twelve (12) month basis as of any Quarterly Test Date, is less than 1.20x; (ii) Occupancy of the Property falls below eighty-seven percent (87%) as of any monthly measurement date; or (iii) the occurrence and continuance of an Event of Default.</w:t></w:r></w:p><w:p><w:pPr><w:spacing w:after="80" w:before="80"/><w:ind w:left="720" w:hanging="720"/></w:pPr><w:r><w:rPr><w:rFonts w:ascii="Arial" w:cs="Arial" w:eastAsia="Arial" w:hAnsi="Arial"/><w:b/><w:bCs/><w:sz w:val="20"/><w:szCs w:val="20"/></w:rPr><w:t xml:space="preserve">&quot;Closing&quot;</w:t></w:r><w:r><w:rPr><w:rFonts w:ascii="Arial" w:cs="Arial" w:eastAsia="Arial" w:hAnsi="Arial"/><w:sz w:val="20"/><w:szCs w:val="20"/></w:rPr><w:t xml:space="preserve"> means the consummation of the Loan on the Origination Date, March 15, 2024.</w:t></w:r></w:p><w:p><w:pPr><w:spacing w:after="80" w:before="80"/><w:ind w:left="720" w:hanging="720"/></w:pPr><w:r><w:rPr><w:rFonts w:ascii="Arial" w:cs="Arial" w:eastAsia="Arial" w:hAnsi="Arial"/><w:b/><w:bCs/><w:sz w:val="20"/><w:szCs w:val="20"/></w:rPr><w:t xml:space="preserve">&quot;Closing Date&quot;</w:t></w:r><w:r><w:rPr><w:rFonts w:ascii="Arial" w:cs="Arial" w:eastAsia="Arial" w:hAnsi="Arial"/><w:sz w:val="20"/><w:szCs w:val="20"/></w:rPr><w:t xml:space="preserve"> means March 15, 2024.</w:t></w:r></w:p><w:p><w:pPr><w:spacing w:after="80" w:before="80"/><w:ind w:left="720" w:hanging="720"/></w:pPr><w:r><w:rPr><w:rFonts w:ascii="Arial" w:cs="Arial" w:eastAsia="Arial" w:hAnsi="Arial"/><w:b/><w:bCs/><w:sz w:val="20"/><w:szCs w:val="20"/></w:rPr><w:t xml:space="preserve">&quot;Debt Service&quot;</w:t></w:r><w:r><w:rPr><w:rFonts w:ascii="Arial" w:cs="Arial" w:eastAsia="Arial" w:hAnsi="Arial"/><w:sz w:val="20"/><w:szCs w:val="20"/></w:rPr><w:t xml:space="preserve"> means for any period, the sum of all interest accrued and payable on the Loan during such period, calculated at the Interest Rate on the outstanding principal balance of the Loan.</w:t></w:r></w:p><w:p><w:pPr><w:spacing w:after="80" w:before="80"/><w:ind w:left="720" w:hanging="720"/></w:pPr><w:r><w:rPr><w:rFonts w:ascii="Arial" w:cs="Arial" w:eastAsia="Arial" w:hAnsi="Arial"/><w:b/><w:bCs/><w:sz w:val="20"/><w:szCs w:val="20"/></w:rPr><w:t xml:space="preserve">&quot;Debt Service Coverage Ratio or &quot;DSCR&quot;&quot;</w:t></w:r><w:r><w:rPr><w:rFonts w:ascii="Arial" w:cs="Arial" w:eastAsia="Arial" w:hAnsi="Arial"/><w:sz w:val="20"/><w:szCs w:val="20"/></w:rPr><w:t xml:space="preserve"> means for any trailing twelve (12) month period ending on a Quarterly Test Date, the ratio of (i) Net Operating Income for such period to (ii) Debt Service for such period, calculated on an interest-only basis using the Interest Rate in effect during the applicable period. For purposes of calculating DSCR, Net Operating Income shall be calculated in accordance with the definition set forth herein and shall exclude any non-recurring income items and shall include actual Replacement Reserve deposits as an operating expense.</w:t></w:r></w:p><w:p><w:pPr><w:spacing w:after="80" w:before="80"/><w:ind w:left="720" w:hanging="720"/></w:pPr><w:r><w:rPr><w:rFonts w:ascii="Arial" w:cs="Arial" w:eastAsia="Arial" w:hAnsi="Arial"/><w:b/><w:bCs/><w:sz w:val="20"/><w:szCs w:val="20"/></w:rPr><w:t xml:space="preserve">&quot;Event of Default&quot;</w:t></w:r><w:r><w:rPr><w:rFonts w:ascii="Arial" w:cs="Arial" w:eastAsia="Arial" w:hAnsi="Arial"/><w:sz w:val="20"/><w:szCs w:val="20"/></w:rPr><w:t xml:space="preserve"> means has the meaning set forth in Section 8.1 of this Agreement.</w:t></w:r></w:p><w:p><w:pPr><w:spacing w:after="80" w:before="80"/><w:ind w:left="720" w:hanging="720"/></w:pPr><w:r><w:rPr><w:rFonts w:ascii="Arial" w:cs="Arial" w:eastAsia="Arial" w:hAnsi="Arial"/><w:b/><w:bCs/><w:sz w:val="20"/><w:szCs w:val="20"/></w:rPr><w:t xml:space="preserve">&quot;Extension Conditions&quot;</w:t></w:r><w:r><w:rPr><w:rFonts w:ascii="Arial" w:cs="Arial" w:eastAsia="Arial" w:hAnsi="Arial"/><w:sz w:val="20"/><w:szCs w:val="20"/></w:rPr><w:t xml:space="preserve"> means the conditions that must be satisfied for Borrower to exercise an Extension Option, as set forth in Section 2.4, including without limitation: (i) the Debt Service Coverage Ratio equals or exceeds 1.25x as of the Quarterly Test Date immediately preceding the then-applicable Maturity Date; (ii) Occupancy equals or exceeds ninety percent (90%) as of such Quarterly Test Date; (iii) no Event of Default has occurred and is continuing; (iv) Borrower has paid the Extension Fee; and (v) Lender has received all required third-party reports, including an updated appraisal and property condition report, and such reports are satisfactory to Lender in its reasonable discretion.</w:t></w:r></w:p><w:p><w:pPr><w:spacing w:after="80" w:before="80"/><w:ind w:left="720" w:hanging="720"/></w:pPr><w:r><w:rPr><w:rFonts w:ascii="Arial" w:cs="Arial" w:eastAsia="Arial" w:hAnsi="Arial"/><w:b/><w:bCs/><w:sz w:val="20"/><w:szCs w:val="20"/></w:rPr><w:t xml:space="preserve">&quot;Extension Fee&quot;</w:t></w:r><w:r><w:rPr><w:rFonts w:ascii="Arial" w:cs="Arial" w:eastAsia="Arial" w:hAnsi="Arial"/><w:sz w:val="20"/><w:szCs w:val="20"/></w:rPr><w:t xml:space="preserve"> means a fee equal to twenty-five basis points (0.25%) of the then-outstanding principal balance of the Loan, payable by Borrower to Lender at the time of exercising each Extension Option.</w:t></w:r></w:p><w:p><w:pPr><w:spacing w:after="80" w:before="80"/><w:ind w:left="720" w:hanging="720"/></w:pPr><w:r><w:rPr><w:rFonts w:ascii="Arial" w:cs="Arial" w:eastAsia="Arial" w:hAnsi="Arial"/><w:b/><w:bCs/><w:sz w:val="20"/><w:szCs w:val="20"/></w:rPr><w:t xml:space="preserve">&quot;Extension Option&quot;</w:t></w:r><w:r><w:rPr><w:rFonts w:ascii="Arial" w:cs="Arial" w:eastAsia="Arial" w:hAnsi="Arial"/><w:sz w:val="20"/><w:szCs w:val="20"/></w:rPr><w:t xml:space="preserve"> means Borrower&apos;s option to extend the Maturity Date for one (1) additional year, exercisable twice (for a maximum extended Maturity Date of April 1, 2029), subject to satisfaction of the Extension Conditions.</w:t></w:r></w:p><w:p><w:pPr><w:spacing w:after="80" w:before="80"/><w:ind w:left="720" w:hanging="720"/></w:pPr><w:r><w:rPr><w:rFonts w:ascii="Arial" w:cs="Arial" w:eastAsia="Arial" w:hAnsi="Arial"/><w:b/><w:bCs/><w:sz w:val="20"/><w:szCs w:val="20"/></w:rPr><w:t xml:space="preserve">&quot;Extension Period&quot;</w:t></w:r><w:r><w:rPr><w:rFonts w:ascii="Arial" w:cs="Arial" w:eastAsia="Arial" w:hAnsi="Arial"/><w:sz w:val="20"/><w:szCs w:val="20"/></w:rPr><w:t xml:space="preserve"> means each twelve (12) month period following the Initial Maturity Date during which the Loan remains outstanding pursuant to an Extension Option.</w:t></w:r></w:p><w:p><w:pPr><w:spacing w:after="80" w:before="80"/><w:ind w:left="720" w:hanging="720"/></w:pPr><w:r><w:rPr><w:rFonts w:ascii="Arial" w:cs="Arial" w:eastAsia="Arial" w:hAnsi="Arial"/><w:b/><w:bCs/><w:sz w:val="20"/><w:szCs w:val="20"/></w:rPr><w:t xml:space="preserve">&quot;Fiscal Year&quot;</w:t></w:r><w:r><w:rPr><w:rFonts w:ascii="Arial" w:cs="Arial" w:eastAsia="Arial" w:hAnsi="Arial"/><w:sz w:val="20"/><w:szCs w:val="20"/></w:rPr><w:t xml:space="preserve"> means the twelve (12) month period commencing on January 1 and ending on December 31 of each calendar year.</w:t></w:r></w:p><w:p><w:pPr><w:spacing w:after="80" w:before="80"/><w:ind w:left="720" w:hanging="720"/></w:pPr><w:r><w:rPr><w:rFonts w:ascii="Arial" w:cs="Arial" w:eastAsia="Arial" w:hAnsi="Arial"/><w:b/><w:bCs/><w:sz w:val="20"/><w:szCs w:val="20"/></w:rPr><w:t xml:space="preserve">&quot;Fund&quot;</w:t></w:r><w:r><w:rPr><w:rFonts w:ascii="Arial" w:cs="Arial" w:eastAsia="Arial" w:hAnsi="Arial"/><w:sz w:val="20"/><w:szCs w:val="20"/></w:rPr><w:t xml:space="preserve"> means Meridian Value-Add Fund IV, LP, a Delaware limited partnership, the ultimate parent of Borrower.</w:t></w:r></w:p><w:p><w:pPr><w:spacing w:after="80" w:before="80"/><w:ind w:left="720" w:hanging="720"/></w:pPr><w:r><w:rPr><w:rFonts w:ascii="Arial" w:cs="Arial" w:eastAsia="Arial" w:hAnsi="Arial"/><w:b/><w:bCs/><w:sz w:val="20"/><w:szCs w:val="20"/></w:rPr><w:t xml:space="preserve">&quot;Guarantor&quot;</w:t></w:r><w:r><w:rPr><w:rFonts w:ascii="Arial" w:cs="Arial" w:eastAsia="Arial" w:hAnsi="Arial"/><w:sz w:val="20"/><w:szCs w:val="20"/></w:rPr><w:t xml:space="preserve"> means collectively and jointly and severally, (i) Meridian Capital Group LLC, a Delaware limited liability company, and (ii) James T. Harrington, an individual.</w:t></w:r></w:p><w:p><w:pPr><w:spacing w:after="80" w:before="80"/><w:ind w:left="720" w:hanging="720"/></w:pPr><w:r><w:rPr><w:rFonts w:ascii="Arial" w:cs="Arial" w:eastAsia="Arial" w:hAnsi="Arial"/><w:b/><w:bCs/><w:sz w:val="20"/><w:szCs w:val="20"/></w:rPr><w:t xml:space="preserve">&quot;Guaranty&quot;</w:t></w:r><w:r><w:rPr><w:rFonts w:ascii="Arial" w:cs="Arial" w:eastAsia="Arial" w:hAnsi="Arial"/><w:sz w:val="20"/><w:szCs w:val="20"/></w:rPr><w:t xml:space="preserve"> means the Guaranty Agreement dated as of the Closing Date, executed by Guarantor in favor of Lender.</w:t></w:r></w:p><w:p><w:pPr><w:spacing w:after="80" w:before="80"/><w:ind w:left="720" w:hanging="720"/></w:pPr><w:r><w:rPr><w:rFonts w:ascii="Arial" w:cs="Arial" w:eastAsia="Arial" w:hAnsi="Arial"/><w:b/><w:bCs/><w:sz w:val="20"/><w:szCs w:val="20"/></w:rPr><w:t xml:space="preserve">&quot;Initial Maturity Date&quot;</w:t></w:r><w:r><w:rPr><w:rFonts w:ascii="Arial" w:cs="Arial" w:eastAsia="Arial" w:hAnsi="Arial"/><w:sz w:val="20"/><w:szCs w:val="20"/></w:rPr><w:t xml:space="preserve"> means April 1, 2027.</w:t></w:r></w:p><w:p><w:pPr><w:spacing w:after="80" w:before="80"/><w:ind w:left="720" w:hanging="720"/></w:pPr><w:r><w:rPr><w:rFonts w:ascii="Arial" w:cs="Arial" w:eastAsia="Arial" w:hAnsi="Arial"/><w:b/><w:bCs/><w:sz w:val="20"/><w:szCs w:val="20"/></w:rPr><w:t xml:space="preserve">&quot;Interest Period&quot;</w:t></w:r><w:r><w:rPr><w:rFonts w:ascii="Arial" w:cs="Arial" w:eastAsia="Arial" w:hAnsi="Arial"/><w:sz w:val="20"/><w:szCs w:val="20"/></w:rPr><w:t xml:space="preserve"> means each calendar month during the Loan Term, commencing on the first day of such month (or, in the case of the first Interest Period, the Closing Date) and ending on the last day of such month (or, in the case of the last Interest Period, the Maturity Date).</w:t></w:r></w:p><w:p><w:pPr><w:spacing w:after="80" w:before="80"/><w:ind w:left="720" w:hanging="720"/></w:pPr><w:r><w:rPr><w:rFonts w:ascii="Arial" w:cs="Arial" w:eastAsia="Arial" w:hAnsi="Arial"/><w:b/><w:bCs/><w:sz w:val="20"/><w:szCs w:val="20"/></w:rPr><w:t xml:space="preserve">&quot;Interest Rate&quot;</w:t></w:r><w:r><w:rPr><w:rFonts w:ascii="Arial" w:cs="Arial" w:eastAsia="Arial" w:hAnsi="Arial"/><w:sz w:val="20"/><w:szCs w:val="20"/></w:rPr><w:t xml:space="preserve"> means for any Interest Period, a per annum rate equal to the sum of (i) the applicable SOFR Rate as of the first Business Day of such Interest Period, subject to the SOFR Floor, plus (ii) two hundred eighty-five (285) basis points. The Interest Rate shall be calculated on the basis of a 360-day year and actual days elapsed.</w:t></w:r></w:p><w:p><w:pPr><w:spacing w:after="80" w:before="80"/><w:ind w:left="720" w:hanging="720"/></w:pPr><w:r><w:rPr><w:rFonts w:ascii="Arial" w:cs="Arial" w:eastAsia="Arial" w:hAnsi="Arial"/><w:b/><w:bCs/><w:sz w:val="20"/><w:szCs w:val="20"/></w:rPr><w:t xml:space="preserve">&quot;Leasing Agent&quot;</w:t></w:r><w:r><w:rPr><w:rFonts w:ascii="Arial" w:cs="Arial" w:eastAsia="Arial" w:hAnsi="Arial"/><w:sz w:val="20"/><w:szCs w:val="20"/></w:rPr><w:t xml:space="preserve"> means Summit Property Management, LLC, or any replacement leasing agent approved by Lender.</w:t></w:r></w:p><w:p><w:pPr><w:spacing w:after="80" w:before="80"/><w:ind w:left="720" w:hanging="720"/></w:pPr><w:r><w:rPr><w:rFonts w:ascii="Arial" w:cs="Arial" w:eastAsia="Arial" w:hAnsi="Arial"/><w:b/><w:bCs/><w:sz w:val="20"/><w:szCs w:val="20"/></w:rPr><w:t xml:space="preserve">&quot;Loan&quot;</w:t></w:r><w:r><w:rPr><w:rFonts w:ascii="Arial" w:cs="Arial" w:eastAsia="Arial" w:hAnsi="Arial"/><w:sz w:val="20"/><w:szCs w:val="20"/></w:rPr><w:t xml:space="preserve"> means the loan in the original principal amount of Twenty-Eight Million Three Hundred Fifty Thousand Dollars ($28,350,000) made by Lender to Borrower pursuant to this Agreement.</w:t></w:r></w:p><w:p><w:pPr><w:spacing w:after="80" w:before="80"/><w:ind w:left="720" w:hanging="720"/></w:pPr><w:r><w:rPr><w:rFonts w:ascii="Arial" w:cs="Arial" w:eastAsia="Arial" w:hAnsi="Arial"/><w:b/><w:bCs/><w:sz w:val="20"/><w:szCs w:val="20"/></w:rPr><w:t xml:space="preserve">&quot;Loan Documents&quot;</w:t></w:r><w:r><w:rPr><w:rFonts w:ascii="Arial" w:cs="Arial" w:eastAsia="Arial" w:hAnsi="Arial"/><w:sz w:val="20"/><w:szCs w:val="20"/></w:rPr><w:t xml:space="preserve"> means collectively, this Agreement, the Note, the Deed of Trust, the Assignment of Leases and Rents, the Guaranty, the Environmental Indemnity Agreement, the Cash Management Agreement, the Lockbox Agreement, and all other documents, certificates, and instruments executed in connection with the Loan, as the same may be amended, restated, supplemented, or otherwise modified from time to time.</w:t></w:r></w:p><w:p><w:pPr><w:spacing w:after="80" w:before="80"/><w:ind w:left="720" w:hanging="720"/></w:pPr><w:r><w:rPr><w:rFonts w:ascii="Arial" w:cs="Arial" w:eastAsia="Arial" w:hAnsi="Arial"/><w:b/><w:bCs/><w:sz w:val="20"/><w:szCs w:val="20"/></w:rPr><w:t xml:space="preserve">&quot;Lockbox Account&quot;</w:t></w:r><w:r><w:rPr><w:rFonts w:ascii="Arial" w:cs="Arial" w:eastAsia="Arial" w:hAnsi="Arial"/><w:sz w:val="20"/><w:szCs w:val="20"/></w:rPr><w:t xml:space="preserve"> means a segregated deposit account maintained at the Cash Management Bank, into which all Rents and other revenues of the Property shall be deposited pursuant to the Cash Management Agreement.</w:t></w:r></w:p><w:p><w:pPr><w:spacing w:after="80" w:before="80"/><w:ind w:left="720" w:hanging="720"/></w:pPr><w:r><w:rPr><w:rFonts w:ascii="Arial" w:cs="Arial" w:eastAsia="Arial" w:hAnsi="Arial"/><w:b/><w:bCs/><w:sz w:val="20"/><w:szCs w:val="20"/></w:rPr><w:t xml:space="preserve">&quot;Maturity Date&quot;</w:t></w:r><w:r><w:rPr><w:rFonts w:ascii="Arial" w:cs="Arial" w:eastAsia="Arial" w:hAnsi="Arial"/><w:sz w:val="20"/><w:szCs w:val="20"/></w:rPr><w:t xml:space="preserve"> means the Initial Maturity Date, as may be extended pursuant to Section 2.4.</w:t></w:r></w:p><w:p><w:pPr><w:spacing w:after="80" w:before="80"/><w:ind w:left="720" w:hanging="720"/></w:pPr><w:r><w:rPr><w:rFonts w:ascii="Arial" w:cs="Arial" w:eastAsia="Arial" w:hAnsi="Arial"/><w:b/><w:bCs/><w:sz w:val="20"/><w:szCs w:val="20"/></w:rPr><w:t xml:space="preserve">&quot;Net Operating Income or &quot;NOI&quot;&quot;</w:t></w:r><w:r><w:rPr><w:rFonts w:ascii="Arial" w:cs="Arial" w:eastAsia="Arial" w:hAnsi="Arial"/><w:sz w:val="20"/><w:szCs w:val="20"/></w:rPr><w:t xml:space="preserve"> means for any period, the excess of (i) all revenues actually received from the Property, including base rent, additional rent, parking income, laundry income, and other ancillary property income, over (ii) all ordinary and necessary operating expenses actually incurred and paid with respect to the Property during such period, including property management fees (not to exceed four and one-half percent (4.5%) of Effective Gross Income), real estate taxes, insurance premiums, utilities, repairs and maintenance, landscaping, security, and administrative expenses; provided, however, that NOI shall exclude: (A) Debt Service; (B) depreciation and amortization; (C) Capital Expenditures; (D) Replacement Reserve deposits; (E) income tax; (F) non-cash items; and (G) non-recurring extraordinary items.</w:t></w:r></w:p><w:p><w:pPr><w:spacing w:after="80" w:before="80"/><w:ind w:left="720" w:hanging="720"/></w:pPr><w:r><w:rPr><w:rFonts w:ascii="Arial" w:cs="Arial" w:eastAsia="Arial" w:hAnsi="Arial"/><w:b/><w:bCs/><w:sz w:val="20"/><w:szCs w:val="20"/></w:rPr><w:t xml:space="preserve">&quot;Note&quot;</w:t></w:r><w:r><w:rPr><w:rFonts w:ascii="Arial" w:cs="Arial" w:eastAsia="Arial" w:hAnsi="Arial"/><w:sz w:val="20"/><w:szCs w:val="20"/></w:rPr><w:t xml:space="preserve"> means the Promissory Note dated as of the Closing Date, executed by Borrower in favor of Lender in the original principal amount of the Loan.</w:t></w:r></w:p><w:p><w:pPr><w:spacing w:after="80" w:before="80"/><w:ind w:left="720" w:hanging="720"/></w:pPr><w:r><w:rPr><w:rFonts w:ascii="Arial" w:cs="Arial" w:eastAsia="Arial" w:hAnsi="Arial"/><w:b/><w:bCs/><w:sz w:val="20"/><w:szCs w:val="20"/></w:rPr><w:t xml:space="preserve">&quot;Occupancy&quot;</w:t></w:r><w:r><w:rPr><w:rFonts w:ascii="Arial" w:cs="Arial" w:eastAsia="Arial" w:hAnsi="Arial"/><w:sz w:val="20"/><w:szCs w:val="20"/></w:rPr><w:t xml:space="preserve"> means at any time, the ratio (expressed as a percentage) of (i) the number of residential units in the Property that are leased to and occupied by a residential tenant paying rent under a lease with a remaining term of at least thirty (30) days to (ii) the total number of residential units in the Property (240 units), which calculation shall exclude units that are undergoing active renovation pursuant to the Renovation Program, provided that such excluded units shall not exceed twenty (20) units at any one time without Lender&apos;s prior written consent.</w:t></w:r></w:p><w:p><w:pPr><w:spacing w:after="80" w:before="80"/><w:ind w:left="720" w:hanging="720"/></w:pPr><w:r><w:rPr><w:rFonts w:ascii="Arial" w:cs="Arial" w:eastAsia="Arial" w:hAnsi="Arial"/><w:b/><w:bCs/><w:sz w:val="20"/><w:szCs w:val="20"/></w:rPr><w:t xml:space="preserve">&quot;Operating Account&quot;</w:t></w:r><w:r><w:rPr><w:rFonts w:ascii="Arial" w:cs="Arial" w:eastAsia="Arial" w:hAnsi="Arial"/><w:sz w:val="20"/><w:szCs w:val="20"/></w:rPr><w:t xml:space="preserve"> means the operating account maintained by Property Manager for the benefit of Borrower, funded from the Lockbox Account after application of the Waterfall.</w:t></w:r></w:p><w:p><w:pPr><w:spacing w:after="80" w:before="80"/><w:ind w:left="720" w:hanging="720"/></w:pPr><w:r><w:rPr><w:rFonts w:ascii="Arial" w:cs="Arial" w:eastAsia="Arial" w:hAnsi="Arial"/><w:b/><w:bCs/><w:sz w:val="20"/><w:szCs w:val="20"/></w:rPr><w:t xml:space="preserve">&quot;Origination Fee&quot;</w:t></w:r><w:r><w:rPr><w:rFonts w:ascii="Arial" w:cs="Arial" w:eastAsia="Arial" w:hAnsi="Arial"/><w:sz w:val="20"/><w:szCs w:val="20"/></w:rPr><w:t xml:space="preserve"> means a fee equal to seventy-five basis points (0.75%) of the original principal amount of the Loan ($212,625), paid by Borrower to Lender at Closing.</w:t></w:r></w:p><w:p><w:pPr><w:spacing w:after="80" w:before="80"/><w:ind w:left="720" w:hanging="720"/></w:pPr><w:r><w:rPr><w:rFonts w:ascii="Arial" w:cs="Arial" w:eastAsia="Arial" w:hAnsi="Arial"/><w:b/><w:bCs/><w:sz w:val="20"/><w:szCs w:val="20"/></w:rPr><w:t xml:space="preserve">&quot;Permitted Distributions&quot;</w:t></w:r><w:r><w:rPr><w:rFonts w:ascii="Arial" w:cs="Arial" w:eastAsia="Arial" w:hAnsi="Arial"/><w:sz w:val="20"/><w:szCs w:val="20"/></w:rPr><w:t xml:space="preserve"> means distributions from the Operating Account to Borrower, permitted only if, as of the date of any such distribution: (i) no Cash Sweep Trigger Event has occurred and is continuing; (ii) no Event of Default has occurred and is continuing; (iii) all amounts required to be deposited in the Tax and Insurance Reserve, the Replacement Reserve, and the Operating Reserve have been funded in full; and (iv) projected Net Operating Income for the current Fiscal Year is sufficient to maintain a Debt Service Coverage Ratio of at least 1.15x.</w:t></w:r></w:p><w:p><w:pPr><w:spacing w:after="80" w:before="80"/><w:ind w:left="720" w:hanging="720"/></w:pPr><w:r><w:rPr><w:rFonts w:ascii="Arial" w:cs="Arial" w:eastAsia="Arial" w:hAnsi="Arial"/><w:b/><w:bCs/><w:sz w:val="20"/><w:szCs w:val="20"/></w:rPr><w:t xml:space="preserve">&quot;Property&quot;</w:t></w:r><w:r><w:rPr><w:rFonts w:ascii="Arial" w:cs="Arial" w:eastAsia="Arial" w:hAnsi="Arial"/><w:sz w:val="20"/><w:szCs w:val="20"/></w:rPr><w:t xml:space="preserve"> means the real property commonly known as Cascade Ridge Apartments, located at 4200 Cascade Ridge Drive, Aurora, Colorado 80011, consisting of approximately 14.2 acres and 240 residential apartment units in eight (8) buildings, together with all improvements, fixtures, and personal property related thereto.</w:t></w:r></w:p><w:p><w:pPr><w:spacing w:after="80" w:before="80"/><w:ind w:left="720" w:hanging="720"/></w:pPr><w:r><w:rPr><w:rFonts w:ascii="Arial" w:cs="Arial" w:eastAsia="Arial" w:hAnsi="Arial"/><w:b/><w:bCs/><w:sz w:val="20"/><w:szCs w:val="20"/></w:rPr><w:t xml:space="preserve">&quot;Property Manager&quot;</w:t></w:r><w:r><w:rPr><w:rFonts w:ascii="Arial" w:cs="Arial" w:eastAsia="Arial" w:hAnsi="Arial"/><w:sz w:val="20"/><w:szCs w:val="20"/></w:rPr><w:t xml:space="preserve"> means Summit Property Management, LLC, or any replacement property manager approved by Lender pursuant to Section 5.3.</w:t></w:r></w:p><w:p><w:pPr><w:spacing w:after="80" w:before="80"/><w:ind w:left="720" w:hanging="720"/></w:pPr><w:r><w:rPr><w:rFonts w:ascii="Arial" w:cs="Arial" w:eastAsia="Arial" w:hAnsi="Arial"/><w:b/><w:bCs/><w:sz w:val="20"/><w:szCs w:val="20"/></w:rPr><w:t xml:space="preserve">&quot;Property Management Agreement or &quot;PMA&quot;&quot;</w:t></w:r><w:r><w:rPr><w:rFonts w:ascii="Arial" w:cs="Arial" w:eastAsia="Arial" w:hAnsi="Arial"/><w:sz w:val="20"/><w:szCs w:val="20"/></w:rPr><w:t xml:space="preserve"> means the Property Management Agreement dated as of the Closing Date between Borrower and Property Manager.</w:t></w:r></w:p><w:p><w:pPr><w:spacing w:after="80" w:before="80"/><w:ind w:left="720" w:hanging="720"/></w:pPr><w:r><w:rPr><w:rFonts w:ascii="Arial" w:cs="Arial" w:eastAsia="Arial" w:hAnsi="Arial"/><w:b/><w:bCs/><w:sz w:val="20"/><w:szCs w:val="20"/></w:rPr><w:t xml:space="preserve">&quot;Quarterly Test Date&quot;</w:t></w:r><w:r><w:rPr><w:rFonts w:ascii="Arial" w:cs="Arial" w:eastAsia="Arial" w:hAnsi="Arial"/><w:sz w:val="20"/><w:szCs w:val="20"/></w:rPr><w:t xml:space="preserve"> means March 31, June 30, September 30, and December 31 of each calendar year.</w:t></w:r></w:p><w:p><w:pPr><w:spacing w:after="80" w:before="80"/><w:ind w:left="720" w:hanging="720"/></w:pPr><w:r><w:rPr><w:rFonts w:ascii="Arial" w:cs="Arial" w:eastAsia="Arial" w:hAnsi="Arial"/><w:b/><w:bCs/><w:sz w:val="20"/><w:szCs w:val="20"/></w:rPr><w:t xml:space="preserve">&quot;Renovation Program&quot;</w:t></w:r><w:r><w:rPr><w:rFonts w:ascii="Arial" w:cs="Arial" w:eastAsia="Arial" w:hAnsi="Arial"/><w:sz w:val="20"/><w:szCs w:val="20"/></w:rPr><w:t xml:space="preserve"> means the capital improvement program for the Property as described in Exhibit B hereto, contemplating the renovation of up to one hundred eighty (180) apartment units at an aggregate cost not to exceed $3,600,000, funded from the Capital Expenditure Reserve.</w:t></w:r></w:p><w:p><w:pPr><w:spacing w:after="80" w:before="80"/><w:ind w:left="720" w:hanging="720"/></w:pPr><w:r><w:rPr><w:rFonts w:ascii="Arial" w:cs="Arial" w:eastAsia="Arial" w:hAnsi="Arial"/><w:b/><w:bCs/><w:sz w:val="20"/><w:szCs w:val="20"/></w:rPr><w:t xml:space="preserve">&quot;Replacement Reserve&quot;</w:t></w:r><w:r><w:rPr><w:rFonts w:ascii="Arial" w:cs="Arial" w:eastAsia="Arial" w:hAnsi="Arial"/><w:sz w:val="20"/><w:szCs w:val="20"/></w:rPr><w:t xml:space="preserve"> means a reserve funded by monthly deposits of $350 per unit per year ($7,000 per month) from Rents, to be used for routine capital replacements at the Property.</w:t></w:r></w:p><w:p><w:pPr><w:spacing w:after="80" w:before="80"/><w:ind w:left="720" w:hanging="720"/></w:pPr><w:r><w:rPr><w:rFonts w:ascii="Arial" w:cs="Arial" w:eastAsia="Arial" w:hAnsi="Arial"/><w:b/><w:bCs/><w:sz w:val="20"/><w:szCs w:val="20"/></w:rPr><w:t xml:space="preserve">&quot;SOFR Floor&quot;</w:t></w:r><w:r><w:rPr><w:rFonts w:ascii="Arial" w:cs="Arial" w:eastAsia="Arial" w:hAnsi="Arial"/><w:sz w:val="20"/><w:szCs w:val="20"/></w:rPr><w:t xml:space="preserve"> means zero and one-half of one percent (0.50%) per annum.</w:t></w:r></w:p><w:p><w:pPr><w:spacing w:after="80" w:before="80"/><w:ind w:left="720" w:hanging="720"/></w:pPr><w:r><w:rPr><w:rFonts w:ascii="Arial" w:cs="Arial" w:eastAsia="Arial" w:hAnsi="Arial"/><w:b/><w:bCs/><w:sz w:val="20"/><w:szCs w:val="20"/></w:rPr><w:t xml:space="preserve">&quot;SOFR Rate&quot;</w:t></w:r><w:r><w:rPr><w:rFonts w:ascii="Arial" w:cs="Arial" w:eastAsia="Arial" w:hAnsi="Arial"/><w:sz w:val="20"/><w:szCs w:val="20"/></w:rPr><w:t xml:space="preserve"> means the Secured Overnight Financing Rate published by the Federal Reserve Bank of New York on each Business Day, as such rate is reported on the SOFR administrator&apos;s website (or any successor thereto). If SOFR is unavailable, the parties shall use an alternative reference rate mutually agreed upon in accordance with the benchmark replacement provisions of the Note.</w:t></w:r></w:p><w:p><w:pPr><w:spacing w:after="80" w:before="80"/><w:ind w:left="720" w:hanging="720"/></w:pPr><w:r><w:rPr><w:rFonts w:ascii="Arial" w:cs="Arial" w:eastAsia="Arial" w:hAnsi="Arial"/><w:b/><w:bCs/><w:sz w:val="20"/><w:szCs w:val="20"/></w:rPr><w:t xml:space="preserve">&quot;Sponsor&quot;</w:t></w:r><w:r><w:rPr><w:rFonts w:ascii="Arial" w:cs="Arial" w:eastAsia="Arial" w:hAnsi="Arial"/><w:sz w:val="20"/><w:szCs w:val="20"/></w:rPr><w:t xml:space="preserve"> means Meridian Capital Group LLC.</w:t></w:r></w:p><w:p><w:pPr><w:spacing w:after="80" w:before="80"/><w:ind w:left="720" w:hanging="720"/></w:pPr><w:r><w:rPr><w:rFonts w:ascii="Arial" w:cs="Arial" w:eastAsia="Arial" w:hAnsi="Arial"/><w:b/><w:bCs/><w:sz w:val="20"/><w:szCs w:val="20"/></w:rPr><w:t xml:space="preserve">&quot;Waterfall&quot;</w:t></w:r><w:r><w:rPr><w:rFonts w:ascii="Arial" w:cs="Arial" w:eastAsia="Arial" w:hAnsi="Arial"/><w:sz w:val="20"/><w:szCs w:val="20"/></w:rPr><w:t xml:space="preserve"> means the priority of distributions from the Lockbox Account as set forth in Section 9.3.</w:t></w:r></w:p><w:p><w:r><w:br w:type="page"/></w:r></w:p><w:p><w:pPr><w:pStyle w:val="Heading1"/><w:spacing w:after="120" w:before="360"/></w:pPr><w:r><w:rPr><w:rFonts w:ascii="Arial" w:cs="Arial" w:eastAsia="Arial" w:hAnsi="Arial"/><w:b/><w:bCs/><w:sz w:val="28"/><w:szCs w:val="28"/></w:rPr><w:t xml:space="preserve">ARTICLE 2
THE LOAN</w:t></w:r></w:p><w:p><w:pPr><w:pStyle w:val="Heading2"/><w:spacing w:after="80" w:before="240"/></w:pPr><w:r><w:rPr><w:rFonts w:ascii="Arial" w:cs="Arial" w:eastAsia="Arial" w:hAnsi="Arial"/><w:b/><w:bCs/><w:sz w:val="24"/><w:szCs w:val="24"/></w:rPr><w:t xml:space="preserve">2.1 Loan Amount and Use of Proceeds</w:t></w:r></w:p><w:p><w:pPr><w:spacing w:after="60" w:before="60"/><w:ind/></w:pPr><w:r><w:rPr><w:rFonts w:ascii="Arial" w:cs="Arial" w:eastAsia="Arial" w:hAnsi="Arial"/><w:sz w:val="20"/><w:szCs w:val="20"/></w:rPr><w:t xml:space="preserve">Subject to the terms and conditions of this Agreement, Lender agrees to make a single-advance, non-revolving loan to Borrower on the Closing Date in the principal amount of Twenty-Eight Million Three Hundred Fifty Thousand Dollars ($28,350,000). The proceeds of the Loan shall be used solely for the following purposes: (i) to fund a portion of the acquisition price of the Property; (ii) to fund the Origination Fee, closing costs, and other Loan-related expenses; (iii) to fund the Capital Expenditure Reserve; and (iv) to fund the Operating Reserve. Borrower shall not use the proceeds of the Loan for any purpose other than as set forth herein without Lender&apos;s prior written consent.</w:t></w:r></w:p><w:p><w:pPr><w:pStyle w:val="Heading2"/><w:spacing w:after="80" w:before="240"/></w:pPr><w:r><w:rPr><w:rFonts w:ascii="Arial" w:cs="Arial" w:eastAsia="Arial" w:hAnsi="Arial"/><w:b/><w:bCs/><w:sz w:val="24"/><w:szCs w:val="24"/></w:rPr><w:t xml:space="preserve">2.2 Interest Rate</w:t></w:r></w:p><w:p><w:pPr><w:spacing w:after="60" w:before="60"/><w:ind/></w:pPr><w:r><w:rPr><w:rFonts w:ascii="Arial" w:cs="Arial" w:eastAsia="Arial" w:hAnsi="Arial"/><w:sz w:val="20"/><w:szCs w:val="20"/></w:rPr><w:t xml:space="preserve">The Loan shall bear interest at the Interest Rate. The Interest Rate shall reset on the first Business Day of each calendar month based on the SOFR Rate then in effect. Interest shall be calculated on the actual outstanding principal balance of the Loan on an actual/360 basis. As of the Closing Date, the initial SOFR Rate is approximately 5.30% per annum, resulting in an initial Interest Rate of approximately 8.15% per annum and initial monthly interest payments of approximately $192,338.</w:t></w:r></w:p><w:p><w:pPr><w:pStyle w:val="Heading2"/><w:spacing w:after="80" w:before="240"/></w:pPr><w:r><w:rPr><w:rFonts w:ascii="Arial" w:cs="Arial" w:eastAsia="Arial" w:hAnsi="Arial"/><w:b/><w:bCs/><w:sz w:val="24"/><w:szCs w:val="24"/></w:rPr><w:t xml:space="preserve">2.3 Payments</w:t></w:r></w:p><w:p><w:pPr><w:spacing w:after="60" w:before="60"/><w:ind/></w:pPr><w:r><w:rPr><w:rFonts w:ascii="Arial" w:cs="Arial" w:eastAsia="Arial" w:hAnsi="Arial"/><w:sz w:val="20"/><w:szCs w:val="20"/></w:rPr><w:t xml:space="preserve">(a) Monthly Interest Payments. Borrower shall pay to Lender, on the first (1st) Business Day of each month, commencing May 1, 2024, accrued and unpaid interest on the outstanding principal balance of the Loan at the Interest Rate for the preceding Interest Period.</w:t></w:r></w:p><w:p><w:pPr><w:spacing w:after="60" w:before="60"/><w:ind/></w:pPr><w:r><w:rPr><w:rFonts w:ascii="Arial" w:cs="Arial" w:eastAsia="Arial" w:hAnsi="Arial"/><w:sz w:val="20"/><w:szCs w:val="20"/></w:rPr><w:t xml:space="preserve">(b) Maturity Payment. On the Maturity Date, Borrower shall pay to Lender the entire outstanding principal balance of the Loan, together with all accrued and unpaid interest thereon and all other amounts due and owing under the Loan Documents.</w:t></w:r></w:p><w:p><w:pPr><w:spacing w:after="60" w:before="60"/><w:ind/></w:pPr><w:r><w:rPr><w:rFonts w:ascii="Arial" w:cs="Arial" w:eastAsia="Arial" w:hAnsi="Arial"/><w:sz w:val="20"/><w:szCs w:val="20"/></w:rPr><w:t xml:space="preserve">(c) Voluntary Prepayment. Borrower may prepay the Loan in whole or in part at any time upon not less than five (5) Business Days&apos; prior written notice to Lender, without premium or penalty; provided that any partial prepayment shall be applied to the outstanding principal balance of the Loan in the order determined by Lender.</w:t></w:r></w:p><w:p><w:pPr><w:pStyle w:val="Heading2"/><w:spacing w:after="80" w:before="240"/></w:pPr><w:r><w:rPr><w:rFonts w:ascii="Arial" w:cs="Arial" w:eastAsia="Arial" w:hAnsi="Arial"/><w:b/><w:bCs/><w:sz w:val="24"/><w:szCs w:val="24"/></w:rPr><w:t xml:space="preserve">2.4 Extension Options</w:t></w:r></w:p><w:p><w:pPr><w:spacing w:after="60" w:before="60"/><w:ind/></w:pPr><w:r><w:rPr><w:rFonts w:ascii="Arial" w:cs="Arial" w:eastAsia="Arial" w:hAnsi="Arial"/><w:sz w:val="20"/><w:szCs w:val="20"/></w:rPr><w:t xml:space="preserve">Provided that each of the Extension Conditions is satisfied as of the date of exercise, Borrower shall have the option to extend the Maturity Date for two (2) consecutive one (1) year periods (each, an &quot;Extension Period&quot;), as follows:</w:t></w:r></w:p><w:p><w:pPr><w:spacing w:after="60" w:before="60"/><w:ind w:left="720"/></w:pPr><w:r><w:rPr><w:rFonts w:ascii="Arial" w:cs="Arial" w:eastAsia="Arial" w:hAnsi="Arial"/><w:sz w:val="20"/><w:szCs w:val="20"/></w:rPr><w:t xml:space="preserve">(a) First Extension Option. Borrower may extend the Initial Maturity Date (April 1, 2027) to April 1, 2028, by delivering written notice to Lender not later than sixty (60) days prior to the Initial Maturity Date, together with payment of the Extension Fee and evidence satisfactory to Lender that all Extension Conditions have been met.</w:t></w:r></w:p><w:p><w:pPr><w:spacing w:after="60" w:before="60"/><w:ind w:left="720"/></w:pPr><w:r><w:rPr><w:rFonts w:ascii="Arial" w:cs="Arial" w:eastAsia="Arial" w:hAnsi="Arial"/><w:sz w:val="20"/><w:szCs w:val="20"/></w:rPr><w:t xml:space="preserve">(b) Second Extension Option. If Borrower has properly exercised the First Extension Option and the Loan remains outstanding as of April 1, 2028, Borrower may further extend the Maturity Date to April 1, 2029, by delivering written notice to Lender not later than sixty (60) days prior to the first Extension Period maturity date, together with payment of the Extension Fee and evidence satisfactory to Lender that all Extension Conditions have been met.</w:t></w:r></w:p><w:p><w:pPr><w:spacing w:after="60" w:before="60"/><w:ind/></w:pPr><w:r><w:rPr><w:rFonts w:ascii="Arial" w:cs="Arial" w:eastAsia="Arial" w:hAnsi="Arial"/><w:sz w:val="20"/><w:szCs w:val="20"/></w:rPr><w:t xml:space="preserve">(c) During each Extension Period, the Loan shall continue to bear interest at the Interest Rate (SOFR + 285 bps) on an interest-only basis unless Lender, in its sole discretion, elects to require amortization. Lender shall notify Borrower of any amortization requirement not later than ninety (90) days prior to the commencement of any Extension Period.</w:t></w:r></w:p><w:p><w:pPr><w:pStyle w:val="Heading2"/><w:spacing w:after="80" w:before="240"/></w:pPr><w:r><w:rPr><w:rFonts w:ascii="Arial" w:cs="Arial" w:eastAsia="Arial" w:hAnsi="Arial"/><w:b/><w:bCs/><w:sz w:val="24"/><w:szCs w:val="24"/></w:rPr><w:t xml:space="preserve">2.5 Security</w:t></w:r></w:p><w:p><w:pPr><w:spacing w:after="60" w:before="60"/><w:ind/></w:pPr><w:r><w:rPr><w:rFonts w:ascii="Arial" w:cs="Arial" w:eastAsia="Arial" w:hAnsi="Arial"/><w:sz w:val="20"/><w:szCs w:val="20"/></w:rPr><w:t xml:space="preserve">As security for the Loan, Borrower shall grant to Lender, on the Closing Date, the following security interests and encumbrances, each of which shall remain in effect until the Loan is repaid in full: (i) a first-priority deed of trust lien on the Property pursuant to the Deed of Trust; (ii) an assignment of all leases and rents with respect to the Property pursuant to the Assignment of Leases and Rents; (iii) a security interest in all personal property, equipment, accounts, and other assets of Borrower used in connection with the Property pursuant to the Security Agreement and related UCC financing statements; and (iv) all other collateral described in the Loan Documents.</w:t></w:r></w:p><w:p><w:pPr><w:pStyle w:val="Heading2"/><w:spacing w:after="80" w:before="240"/></w:pPr><w:r><w:rPr><w:rFonts w:ascii="Arial" w:cs="Arial" w:eastAsia="Arial" w:hAnsi="Arial"/><w:b/><w:bCs/><w:sz w:val="24"/><w:szCs w:val="24"/></w:rPr><w:t xml:space="preserve">2.6 Reserves</w:t></w:r></w:p><w:p><w:pPr><w:spacing w:after="60" w:before="60"/><w:ind/></w:pPr><w:r><w:rPr><w:rFonts w:ascii="Arial" w:cs="Arial" w:eastAsia="Arial" w:hAnsi="Arial"/><w:sz w:val="20"/><w:szCs w:val="20"/></w:rPr><w:t xml:space="preserve">At Closing, Borrower shall deposit with Lender the following reserve amounts, to be held in segregated accounts at Lender&apos;s designated depository institution:</w:t></w:r></w:p><w:p><w:pPr><w:spacing w:after="60" w:before="60"/><w:ind w:left="720"/></w:pPr><w:r><w:rPr><w:rFonts w:ascii="Arial" w:cs="Arial" w:eastAsia="Arial" w:hAnsi="Arial"/><w:sz w:val="20"/><w:szCs w:val="20"/></w:rPr><w:t xml:space="preserve">(a) Capital Expenditure Reserve: $4,200,000, to be disbursed by Lender pursuant to Section 2.9 for Renovation Program costs.</w:t></w:r></w:p><w:p><w:pPr><w:spacing w:after="60" w:before="60"/><w:ind w:left="720"/></w:pPr><w:r><w:rPr><w:rFonts w:ascii="Arial" w:cs="Arial" w:eastAsia="Arial" w:hAnsi="Arial"/><w:sz w:val="20"/><w:szCs w:val="20"/></w:rPr><w:t xml:space="preserve">(b) Operating Reserve: $500,000, to cover approximately six (6) months of projected Debt Service, to be released by Lender to Borrower upon satisfaction of the Cash Sweep Release Conditions and replenished as required by Lender.</w:t></w:r></w:p><w:p><w:pPr><w:spacing w:after="60" w:before="60"/><w:ind w:left="720"/></w:pPr><w:r><w:rPr><w:rFonts w:ascii="Arial" w:cs="Arial" w:eastAsia="Arial" w:hAnsi="Arial"/><w:sz w:val="20"/><w:szCs w:val="20"/></w:rPr><w:t xml:space="preserve">(c) Tax and Insurance Reserve: Monthly deposits in amounts estimated by Lender, currently $36,000 per month, to be held in escrow for payment of real estate taxes and insurance premiums.</w:t></w:r></w:p><w:p><w:pPr><w:spacing w:after="60" w:before="60"/><w:ind w:left="720"/></w:pPr><w:r><w:rPr><w:rFonts w:ascii="Arial" w:cs="Arial" w:eastAsia="Arial" w:hAnsi="Arial"/><w:sz w:val="20"/><w:szCs w:val="20"/></w:rPr><w:t xml:space="preserve">(d) Replacement Reserve: Monthly deposits of $7,000 ($350 per unit per year), to be held for routine capital replacements. Lender shall disburse Replacement Reserve funds upon Borrower&apos;s written request accompanied by invoices and other supporting documentation acceptable to Lender.</w:t></w:r></w:p><w:p><w:pPr><w:pStyle w:val="Heading2"/><w:spacing w:after="80" w:before="240"/></w:pPr><w:r><w:rPr><w:rFonts w:ascii="Arial" w:cs="Arial" w:eastAsia="Arial" w:hAnsi="Arial"/><w:b/><w:bCs/><w:sz w:val="24"/><w:szCs w:val="24"/></w:rPr><w:t xml:space="preserve">2.7 Fees</w:t></w:r></w:p><w:p><w:pPr><w:spacing w:after="60" w:before="60"/><w:ind/></w:pPr><w:r><w:rPr><w:rFonts w:ascii="Arial" w:cs="Arial" w:eastAsia="Arial" w:hAnsi="Arial"/><w:sz w:val="20"/><w:szCs w:val="20"/></w:rPr><w:t xml:space="preserve">Borrower shall pay to Lender the following fees: (a) Origination Fee of $212,625 (0.75% of the Loan amount), payable at Closing; (b) Extension Fee of 0.25% of the then-outstanding principal balance of the Loan, payable upon exercise of each Extension Option; and (c) all reasonable out-of-pocket costs and expenses of Lender, including legal fees and third-party report costs, incurred in connection with the origination, administration, or enforcement of the Loan.</w:t></w:r></w:p><w:p><w:r><w:br w:type="page"/></w:r></w:p><w:p><w:pPr><w:pStyle w:val="Heading1"/><w:spacing w:after="120" w:before="360"/></w:pPr><w:r><w:rPr><w:rFonts w:ascii="Arial" w:cs="Arial" w:eastAsia="Arial" w:hAnsi="Arial"/><w:b/><w:bCs/><w:sz w:val="28"/><w:szCs w:val="28"/></w:rPr><w:t xml:space="preserve">ARTICLE 3
CONDITIONS TO CLOSING</w:t></w:r></w:p><w:p><w:pPr><w:pStyle w:val="Heading2"/><w:spacing w:after="80" w:before="240"/></w:pPr><w:r><w:rPr><w:rFonts w:ascii="Arial" w:cs="Arial" w:eastAsia="Arial" w:hAnsi="Arial"/><w:b/><w:bCs/><w:sz w:val="24"/><w:szCs w:val="24"/></w:rPr><w:t xml:space="preserve">3.1 Conditions Precedent</w:t></w:r></w:p><w:p><w:pPr><w:spacing w:after="60" w:before="60"/><w:ind/></w:pPr><w:r><w:rPr><w:rFonts w:ascii="Arial" w:cs="Arial" w:eastAsia="Arial" w:hAnsi="Arial"/><w:sz w:val="20"/><w:szCs w:val="20"/></w:rPr><w:t xml:space="preserve">The obligation of Lender to fund the Loan on the Closing Date is subject to the satisfaction (or waiver by Lender in its sole discretion) of each of the following conditions:</w:t></w:r></w:p><w:p><w:pPr><w:spacing w:after="60" w:before="60"/><w:ind w:left="720"/></w:pPr><w:r><w:rPr><w:rFonts w:ascii="Arial" w:cs="Arial" w:eastAsia="Arial" w:hAnsi="Arial"/><w:sz w:val="20"/><w:szCs w:val="20"/></w:rPr><w:t xml:space="preserve">(a) Loan Documents. Borrower and Guarantor shall have executed and delivered to Lender all Loan Documents, in form and substance satisfactory to Lender.</w:t></w:r></w:p><w:p><w:pPr><w:spacing w:after="60" w:before="60"/><w:ind w:left="720"/></w:pPr><w:r><w:rPr><w:rFonts w:ascii="Arial" w:cs="Arial" w:eastAsia="Arial" w:hAnsi="Arial"/><w:sz w:val="20"/><w:szCs w:val="20"/></w:rPr><w:t xml:space="preserve">(b) Appraisal. Lender shall have received an appraisal of the Property from a Lender-approved appraiser, dated not more than ninety (90) days prior to the Closing Date, reflecting an appraised value of not less than $42,000,000 (as-is), acceptable to Lender in its sole discretion.</w:t></w:r></w:p><w:p><w:pPr><w:spacing w:after="60" w:before="60"/><w:ind w:left="720"/></w:pPr><w:r><w:rPr><w:rFonts w:ascii="Arial" w:cs="Arial" w:eastAsia="Arial" w:hAnsi="Arial"/><w:sz w:val="20"/><w:szCs w:val="20"/></w:rPr><w:t xml:space="preserve">(c) Title Insurance. Lender shall have received a lender&apos;s title insurance policy from Fidelity National Title Insurance Company (or another nationally recognized title insurer acceptable to Lender) in the amount of the Loan, insuring the Deed of Trust as a first-priority lien on the Property, subject only to Permitted Exceptions.</w:t></w:r></w:p><w:p><w:pPr><w:spacing w:after="60" w:before="60"/><w:ind w:left="720"/></w:pPr><w:r><w:rPr><w:rFonts w:ascii="Arial" w:cs="Arial" w:eastAsia="Arial" w:hAnsi="Arial"/><w:sz w:val="20"/><w:szCs w:val="20"/></w:rPr><w:t xml:space="preserve">(d) Property Condition Report. Lender shall have received a property condition report from an independent engineering firm acceptable to Lender, indicating that the Property is in good condition and repair and that the Capital Expenditure Reserve is sufficient to fund all recommended capital improvements.</w:t></w:r></w:p><w:p><w:pPr><w:spacing w:after="60" w:before="60"/><w:ind w:left="720"/></w:pPr><w:r><w:rPr><w:rFonts w:ascii="Arial" w:cs="Arial" w:eastAsia="Arial" w:hAnsi="Arial"/><w:sz w:val="20"/><w:szCs w:val="20"/></w:rPr><w:t xml:space="preserve">(e) Phase I Environmental. Lender shall have received a Phase I Environmental Site Assessment from a qualified environmental consultant, indicating no recognized environmental conditions at the Property that would reasonably be expected to result in material liability.</w:t></w:r></w:p><w:p><w:pPr><w:spacing w:after="60" w:before="60"/><w:ind w:left="720"/></w:pPr><w:r><w:rPr><w:rFonts w:ascii="Arial" w:cs="Arial" w:eastAsia="Arial" w:hAnsi="Arial"/><w:sz w:val="20"/><w:szCs w:val="20"/></w:rPr><w:t xml:space="preserve">(f) Insurance. Borrower shall have obtained and delivered to Lender evidence of all insurance coverage required under Section 5.4 of this Agreement.</w:t></w:r></w:p><w:p><w:pPr><w:spacing w:after="60" w:before="60"/><w:ind w:left="720"/></w:pPr><w:r><w:rPr><w:rFonts w:ascii="Arial" w:cs="Arial" w:eastAsia="Arial" w:hAnsi="Arial"/><w:sz w:val="20"/><w:szCs w:val="20"/></w:rPr><w:t xml:space="preserve">(g) Organizational Documents. Lender shall have received copies of all organizational documents of Borrower and Guarantor, together with authorizing resolutions and a certificate of good standing from the applicable state of organization.</w:t></w:r></w:p><w:p><w:pPr><w:spacing w:after="60" w:before="60"/><w:ind w:left="720"/></w:pPr><w:r><w:rPr><w:rFonts w:ascii="Arial" w:cs="Arial" w:eastAsia="Arial" w:hAnsi="Arial"/><w:sz w:val="20"/><w:szCs w:val="20"/></w:rPr><w:t xml:space="preserve">(h) Leases. Lender shall have received a certified rent roll for the Property, dated not more than fifteen (15) days prior to the Closing Date, together with copies of all leases for all residential units.</w:t></w:r></w:p><w:p><w:pPr><w:spacing w:after="60" w:before="60"/><w:ind w:left="720"/></w:pPr><w:r><w:rPr><w:rFonts w:ascii="Arial" w:cs="Arial" w:eastAsia="Arial" w:hAnsi="Arial"/><w:sz w:val="20"/><w:szCs w:val="20"/></w:rPr><w:t xml:space="preserve">(i) Property Management Agreement. Lender shall have received an executed copy of the Property Management Agreement and shall have approved the form and substance thereof.</w:t></w:r></w:p><w:p><w:pPr><w:spacing w:after="60" w:before="60"/><w:ind w:left="720"/></w:pPr><w:r><w:rPr><w:rFonts w:ascii="Arial" w:cs="Arial" w:eastAsia="Arial" w:hAnsi="Arial"/><w:sz w:val="20"/><w:szCs w:val="20"/></w:rPr><w:t xml:space="preserve">(j) Funds. Borrower shall have deposited with Lender all required reserve amounts as set forth in Section 2.6 and shall have delivered evidence of sufficient equity to fund the balance of the acquisition price.</w:t></w:r></w:p><w:p><w:r><w:br w:type="page"/></w:r></w:p><w:p><w:pPr><w:pStyle w:val="Heading1"/><w:spacing w:after="120" w:before="360"/></w:pPr><w:r><w:rPr><w:rFonts w:ascii="Arial" w:cs="Arial" w:eastAsia="Arial" w:hAnsi="Arial"/><w:b/><w:bCs/><w:sz w:val="28"/><w:szCs w:val="28"/></w:rPr><w:t xml:space="preserve">ARTICLE 4
REPRESENTATIONS AND WARRANTIES</w:t></w:r></w:p><w:p><w:pPr><w:spacing w:after="60" w:before="60"/><w:ind/></w:pPr><w:r><w:rPr><w:rFonts w:ascii="Arial" w:cs="Arial" w:eastAsia="Arial" w:hAnsi="Arial"/><w:sz w:val="20"/><w:szCs w:val="20"/></w:rPr><w:t xml:space="preserve">Borrower and Guarantor represent and warrant to Lender, as of the Closing Date and as of each Quarterly Test Date, as follows:</w:t></w:r></w:p><w:p><w:pPr><w:pStyle w:val="Heading2"/><w:spacing w:after="80" w:before="240"/></w:pPr><w:r><w:rPr><w:rFonts w:ascii="Arial" w:cs="Arial" w:eastAsia="Arial" w:hAnsi="Arial"/><w:b/><w:bCs/><w:sz w:val="24"/><w:szCs w:val="24"/></w:rPr><w:t xml:space="preserve">4.1 Organization and Authority</w:t></w:r></w:p><w:p><w:pPr><w:spacing w:after="60" w:before="60"/><w:ind/></w:pPr><w:r><w:rPr><w:rFonts w:ascii="Arial" w:cs="Arial" w:eastAsia="Arial" w:hAnsi="Arial"/><w:sz w:val="20"/><w:szCs w:val="20"/></w:rPr><w:t xml:space="preserve">Borrower is a duly organized, validly existing Delaware limited liability company, in good standing under the laws of the State of Delaware and qualified to do business in the State of Colorado. Borrower has full power and authority to execute, deliver, and perform its obligations under this Agreement and the other Loan Documents.</w:t></w:r></w:p><w:p><w:pPr><w:pStyle w:val="Heading2"/><w:spacing w:after="80" w:before="240"/></w:pPr><w:r><w:rPr><w:rFonts w:ascii="Arial" w:cs="Arial" w:eastAsia="Arial" w:hAnsi="Arial"/><w:b/><w:bCs/><w:sz w:val="24"/><w:szCs w:val="24"/></w:rPr><w:t xml:space="preserve">4.2 No Default</w:t></w:r></w:p><w:p><w:pPr><w:spacing w:after="60" w:before="60"/><w:ind/></w:pPr><w:r><w:rPr><w:rFonts w:ascii="Arial" w:cs="Arial" w:eastAsia="Arial" w:hAnsi="Arial"/><w:sz w:val="20"/><w:szCs w:val="20"/></w:rPr><w:t xml:space="preserve">No Event of Default under this Agreement or any other material agreement of Borrower or Guarantor has occurred and is continuing, and no event has occurred that, with notice or the passage of time, would constitute an Event of Default.</w:t></w:r></w:p><w:p><w:pPr><w:pStyle w:val="Heading2"/><w:spacing w:after="80" w:before="240"/></w:pPr><w:r><w:rPr><w:rFonts w:ascii="Arial" w:cs="Arial" w:eastAsia="Arial" w:hAnsi="Arial"/><w:b/><w:bCs/><w:sz w:val="24"/><w:szCs w:val="24"/></w:rPr><w:t xml:space="preserve">4.3 Financial Statements</w:t></w:r></w:p><w:p><w:pPr><w:spacing w:after="60" w:before="60"/><w:ind/></w:pPr><w:r><w:rPr><w:rFonts w:ascii="Arial" w:cs="Arial" w:eastAsia="Arial" w:hAnsi="Arial"/><w:sz w:val="20"/><w:szCs w:val="20"/></w:rPr><w:t xml:space="preserve">All financial statements delivered to Lender are accurate and complete in all material respects and fairly present the financial condition of Borrower and the Property as of the dates thereof. There has been no material adverse change in the financial condition or operations of Borrower or the Property since the date of the most recent financial statements delivered to Lender.</w:t></w:r></w:p><w:p><w:pPr><w:pStyle w:val="Heading2"/><w:spacing w:after="80" w:before="240"/></w:pPr><w:r><w:rPr><w:rFonts w:ascii="Arial" w:cs="Arial" w:eastAsia="Arial" w:hAnsi="Arial"/><w:b/><w:bCs/><w:sz w:val="24"/><w:szCs w:val="24"/></w:rPr><w:t xml:space="preserve">4.4 Compliance with Law</w:t></w:r></w:p><w:p><w:pPr><w:spacing w:after="60" w:before="60"/><w:ind/></w:pPr><w:r><w:rPr><w:rFonts w:ascii="Arial" w:cs="Arial" w:eastAsia="Arial" w:hAnsi="Arial"/><w:sz w:val="20"/><w:szCs w:val="20"/></w:rPr><w:t xml:space="preserve">The Property and its operation comply in all material respects with all applicable laws, ordinances, rules, and regulations, including all zoning, building code, environmental, and health and safety laws.</w:t></w:r></w:p><w:p><w:r><w:br w:type="page"/></w:r></w:p><w:p><w:pPr><w:pStyle w:val="Heading1"/><w:spacing w:after="120" w:before="360"/></w:pPr><w:r><w:rPr><w:rFonts w:ascii="Arial" w:cs="Arial" w:eastAsia="Arial" w:hAnsi="Arial"/><w:b/><w:bCs/><w:sz w:val="28"/><w:szCs w:val="28"/></w:rPr><w:t xml:space="preserve">ARTICLE 5
AFFIRMATIVE COVENANTS</w:t></w:r></w:p><w:p><w:pPr><w:spacing w:after="60" w:before="60"/><w:ind/></w:pPr><w:r><w:rPr><w:rFonts w:ascii="Arial" w:cs="Arial" w:eastAsia="Arial" w:hAnsi="Arial"/><w:sz w:val="20"/><w:szCs w:val="20"/></w:rPr><w:t xml:space="preserve">Borrower covenants and agrees that, from and after the Closing Date and until the Loan is paid in full:</w:t></w:r></w:p><w:p><w:pPr><w:pStyle w:val="Heading2"/><w:spacing w:after="80" w:before="240"/></w:pPr><w:r><w:rPr><w:rFonts w:ascii="Arial" w:cs="Arial" w:eastAsia="Arial" w:hAnsi="Arial"/><w:b/><w:bCs/><w:sz w:val="24"/><w:szCs w:val="24"/></w:rPr><w:t xml:space="preserve">5.1 Financial Reporting</w:t></w:r></w:p><w:p><w:pPr><w:spacing w:after="60" w:before="60"/><w:ind/></w:pPr><w:r><w:rPr><w:rFonts w:ascii="Arial" w:cs="Arial" w:eastAsia="Arial" w:hAnsi="Arial"/><w:sz w:val="20"/><w:szCs w:val="20"/></w:rPr><w:t xml:space="preserve">Borrower shall deliver to Lender the financial reports and other deliverables set forth in Schedule A to this Agreement (the &quot;Reporting Schedule&quot;), in form and substance acceptable to Lender, within the applicable deadlines specified therein. Failure to timely deliver any required report shall constitute an Event of Default following the cure period specified in Section 8.1(c).</w:t></w:r></w:p><w:p><w:pPr><w:pStyle w:val="Heading2"/><w:spacing w:after="80" w:before="240"/></w:pPr><w:r><w:rPr><w:rFonts w:ascii="Arial" w:cs="Arial" w:eastAsia="Arial" w:hAnsi="Arial"/><w:b/><w:bCs/><w:sz w:val="24"/><w:szCs w:val="24"/></w:rPr><w:t xml:space="preserve">5.2 Books and Records; Inspection</w:t></w:r></w:p><w:p><w:pPr><w:spacing w:after="60" w:before="60"/><w:ind/></w:pPr><w:r><w:rPr><w:rFonts w:ascii="Arial" w:cs="Arial" w:eastAsia="Arial" w:hAnsi="Arial"/><w:sz w:val="20"/><w:szCs w:val="20"/></w:rPr><w:t xml:space="preserve">Borrower shall maintain complete and accurate books of account and other records with respect to the Property and the Loan. Lender and its representatives shall have the right, upon not less than two (2) Business Days&apos; prior notice (or without notice during the continuance of an Event of Default), to inspect the Property and audit Borrower&apos;s books and records relating thereto.</w:t></w:r></w:p><w:p><w:pPr><w:pStyle w:val="Heading2"/><w:spacing w:after="80" w:before="240"/></w:pPr><w:r><w:rPr><w:rFonts w:ascii="Arial" w:cs="Arial" w:eastAsia="Arial" w:hAnsi="Arial"/><w:b/><w:bCs/><w:sz w:val="24"/><w:szCs w:val="24"/></w:rPr><w:t xml:space="preserve">5.3 Property Manager</w:t></w:r></w:p><w:p><w:pPr><w:spacing w:after="60" w:before="60"/><w:ind/></w:pPr><w:r><w:rPr><w:rFonts w:ascii="Arial" w:cs="Arial" w:eastAsia="Arial" w:hAnsi="Arial"/><w:sz w:val="20"/><w:szCs w:val="20"/></w:rPr><w:t xml:space="preserve">Borrower shall maintain in effect at all times the Property Management Agreement with Summit Property Management, LLC, or such other property manager as is approved by Lender in its reasonable discretion. Any change of the Property Manager shall require prior written approval of Lender, which approval shall not be unreasonably withheld. All property management fees paid under the Property Management Agreement shall not exceed four and one-half percent (4.5%) of Effective Gross Income per year without Lender&apos;s prior written consent.</w:t></w:r></w:p><w:p><w:pPr><w:pStyle w:val="Heading2"/><w:spacing w:after="80" w:before="240"/></w:pPr><w:r><w:rPr><w:rFonts w:ascii="Arial" w:cs="Arial" w:eastAsia="Arial" w:hAnsi="Arial"/><w:b/><w:bCs/><w:sz w:val="24"/><w:szCs w:val="24"/></w:rPr><w:t xml:space="preserve">5.4 Insurance</w:t></w:r></w:p><w:p><w:pPr><w:spacing w:after="60" w:before="60"/><w:ind/></w:pPr><w:r><w:rPr><w:rFonts w:ascii="Arial" w:cs="Arial" w:eastAsia="Arial" w:hAnsi="Arial"/><w:sz w:val="20"/><w:szCs w:val="20"/></w:rPr><w:t xml:space="preserve">Borrower shall maintain, at its sole cost and expense, the following insurance coverage at all times, with insurers rated no less than A-/VII by A.M. Best:</w:t></w:r></w:p><w:p><w:pPr><w:spacing w:after="60" w:before="60"/><w:ind w:left="720"/></w:pPr><w:r><w:rPr><w:rFonts w:ascii="Arial" w:cs="Arial" w:eastAsia="Arial" w:hAnsi="Arial"/><w:sz w:val="20"/><w:szCs w:val="20"/></w:rPr><w:t xml:space="preserve">(a) Commercial property insurance covering the full replacement cost value of the Property, with no coinsurance clause, and including business interruption/rental income coverage for a period of not less than twelve (12) months.</w:t></w:r></w:p><w:p><w:pPr><w:spacing w:after="60" w:before="60"/><w:ind w:left="720"/></w:pPr><w:r><w:rPr><w:rFonts w:ascii="Arial" w:cs="Arial" w:eastAsia="Arial" w:hAnsi="Arial"/><w:sz w:val="20"/><w:szCs w:val="20"/></w:rPr><w:t xml:space="preserve">(b) Commercial general liability insurance with combined single limits of not less than $2,000,000 per occurrence and $5,000,000 in the aggregate, naming Lender as an additional insured.</w:t></w:r></w:p><w:p><w:pPr><w:spacing w:after="60" w:before="60"/><w:ind w:left="720"/></w:pPr><w:r><w:rPr><w:rFonts w:ascii="Arial" w:cs="Arial" w:eastAsia="Arial" w:hAnsi="Arial"/><w:sz w:val="20"/><w:szCs w:val="20"/></w:rPr><w:t xml:space="preserve">(c) Excess/umbrella liability insurance with limits of not less than $10,000,000 per occurrence.</w:t></w:r></w:p><w:p><w:pPr><w:spacing w:after="60" w:before="60"/><w:ind w:left="720"/></w:pPr><w:r><w:rPr><w:rFonts w:ascii="Arial" w:cs="Arial" w:eastAsia="Arial" w:hAnsi="Arial"/><w:sz w:val="20"/><w:szCs w:val="20"/></w:rPr><w:t xml:space="preserve">(d) Workers&apos; compensation insurance as required by applicable law.</w:t></w:r></w:p><w:p><w:pPr><w:spacing w:after="60" w:before="60"/><w:ind/></w:pPr><w:r><w:rPr><w:rFonts w:ascii="Arial" w:cs="Arial" w:eastAsia="Arial" w:hAnsi="Arial"/><w:sz w:val="20"/><w:szCs w:val="20"/></w:rPr><w:t xml:space="preserve">All insurance policies shall: (x) name Lender as lender loss payee (for property policies) and additional insured (for liability policies); (y) require not less than thirty (30) days&apos; prior written notice to Lender of any cancellation or material modification; and (z) be primary and non-contributory with respect to any other insurance maintained by Lender.</w:t></w:r></w:p><w:p><w:pPr><w:pStyle w:val="Heading2"/><w:spacing w:after="80" w:before="240"/></w:pPr><w:r><w:rPr><w:rFonts w:ascii="Arial" w:cs="Arial" w:eastAsia="Arial" w:hAnsi="Arial"/><w:b/><w:bCs/><w:sz w:val="24"/><w:szCs w:val="24"/></w:rPr><w:t xml:space="preserve">5.5 Maintenance and Repair</w:t></w:r></w:p><w:p><w:pPr><w:spacing w:after="60" w:before="60"/><w:ind/></w:pPr><w:r><w:rPr><w:rFonts w:ascii="Arial" w:cs="Arial" w:eastAsia="Arial" w:hAnsi="Arial"/><w:sz w:val="20"/><w:szCs w:val="20"/></w:rPr><w:t xml:space="preserve">Borrower shall maintain the Property in good condition and repair, in compliance with all applicable laws, and in substantially the same condition as of the Closing Date, ordinary wear and tear excepted. Borrower shall promptly repair or replace any material damage to or destruction of the Property.</w:t></w:r></w:p><w:p><w:pPr><w:pStyle w:val="Heading2"/><w:spacing w:after="80" w:before="240"/></w:pPr><w:r><w:rPr><w:rFonts w:ascii="Arial" w:cs="Arial" w:eastAsia="Arial" w:hAnsi="Arial"/><w:b/><w:bCs/><w:sz w:val="24"/><w:szCs w:val="24"/></w:rPr><w:t xml:space="preserve">5.6 Annual Budget</w:t></w:r></w:p><w:p><w:pPr><w:spacing w:after="60" w:before="60"/><w:ind/></w:pPr><w:r><w:rPr><w:rFonts w:ascii="Arial" w:cs="Arial" w:eastAsia="Arial" w:hAnsi="Arial"/><w:sz w:val="20"/><w:szCs w:val="20"/></w:rPr><w:t xml:space="preserve">Not later than December 1 of each year, Borrower shall submit to Lender a proposed Approved Annual Budget for the succeeding Fiscal Year. The Approved Annual Budget shall be in form and substance acceptable to Lender and shall include projected revenues, operating expenses, capital expenditures, and a line-item description of all proposed renovation activities. Lender shall have thirty (30) days to approve or reject the proposed budget, with approval not to be unreasonably withheld.</w:t></w:r></w:p><w:p><w:pPr><w:pStyle w:val="Heading2"/><w:spacing w:after="80" w:before="240"/></w:pPr><w:r><w:rPr><w:rFonts w:ascii="Arial" w:cs="Arial" w:eastAsia="Arial" w:hAnsi="Arial"/><w:b/><w:bCs/><w:sz w:val="24"/><w:szCs w:val="24"/></w:rPr><w:t xml:space="preserve">5.7 Renovation Program</w:t></w:r></w:p><w:p><w:pPr><w:spacing w:after="60" w:before="60"/><w:ind/></w:pPr><w:r><w:rPr><w:rFonts w:ascii="Arial" w:cs="Arial" w:eastAsia="Arial" w:hAnsi="Arial"/><w:sz w:val="20"/><w:szCs w:val="20"/></w:rPr><w:t xml:space="preserve">Borrower shall diligently prosecute the Renovation Program in accordance with Exhibit B and all applicable laws, shall maintain all required building permits and licenses, and shall comply with all conditions and requirements of the Approved Annual Budget with respect to capital expenditures. Borrower shall not make any material modification to the Renovation Program scope, budget, or schedule without Lender&apos;s prior written consent.</w:t></w:r></w:p><w:p><w:r><w:br w:type="page"/></w:r></w:p><w:p><w:pPr><w:pStyle w:val="Heading1"/><w:spacing w:after="120" w:before="360"/></w:pPr><w:r><w:rPr><w:rFonts w:ascii="Arial" w:cs="Arial" w:eastAsia="Arial" w:hAnsi="Arial"/><w:b/><w:bCs/><w:sz w:val="28"/><w:szCs w:val="28"/></w:rPr><w:t xml:space="preserve">ARTICLE 6
FINANCIAL COVENANTS</w:t></w:r></w:p><w:p><w:pPr><w:pStyle w:val="Heading2"/><w:spacing w:after="80" w:before="240"/></w:pPr><w:r><w:rPr><w:rFonts w:ascii="Arial" w:cs="Arial" w:eastAsia="Arial" w:hAnsi="Arial"/><w:b/><w:bCs/><w:sz w:val="24"/><w:szCs w:val="24"/></w:rPr><w:t xml:space="preserve">6.1 Debt Service Coverage Ratio</w:t></w:r></w:p><w:p><w:pPr><w:spacing w:after="60" w:before="60"/><w:ind/></w:pPr><w:r><w:rPr><w:rFonts w:ascii="Arial" w:cs="Arial" w:eastAsia="Arial" w:hAnsi="Arial"/><w:sz w:val="20"/><w:szCs w:val="20"/></w:rPr><w:t xml:space="preserve">(a) Minimum DSCR. Borrower shall maintain, as of each Quarterly Test Date, a Debt Service Coverage Ratio of not less than 1.15x, calculated on a trailing twelve (12) month basis.</w:t></w:r></w:p><w:p><w:pPr><w:spacing w:after="60" w:before="60"/><w:ind/></w:pPr><w:r><w:rPr><w:rFonts w:ascii="Arial" w:cs="Arial" w:eastAsia="Arial" w:hAnsi="Arial"/><w:sz w:val="20"/><w:szCs w:val="20"/></w:rPr><w:t xml:space="preserve">(b) DSCR Calculation. For purposes of this Section 6.1, the Debt Service Coverage Ratio shall be calculated as follows: (i) the numerator shall be Net Operating Income for the applicable trailing twelve (12) month period, and (ii) the denominator shall be Debt Service for such period, calculated at the Interest Rate in effect during the applicable period on the average outstanding principal balance.</w:t></w:r></w:p><w:p><w:pPr><w:spacing w:after="60" w:before="60"/><w:ind/></w:pPr><w:r><w:rPr><w:rFonts w:ascii="Arial" w:cs="Arial" w:eastAsia="Arial" w:hAnsi="Arial"/><w:sz w:val="20"/><w:szCs w:val="20"/></w:rPr><w:t xml:space="preserve">(c) DSCR Cure Right. If Borrower fails to satisfy the minimum DSCR covenant as of any Quarterly Test Date, Borrower shall have a period of ninety (90) days following the applicable Quarterly Test Date (the &quot;DSCR Cure Period&quot;) to cure such failure, either: (i) by paying down the principal balance of the Loan in an amount sufficient to bring the DSCR into compliance (a &quot;DSCR Principal Paydown&quot;), or (ii) by depositing cash equity with Lender in an amount sufficient to cause the DSCR to be at or above 1.15x on a pro forma basis after giving effect to such deposit (a &quot;DSCR Equity Cure&quot;). Notwithstanding the foregoing, Borrower may not exercise the DSCR Cure Right more than two (2) times during any twelve (12) month period or more than three (3) times during the Loan Term.</w:t></w:r></w:p><w:p><w:pPr><w:pStyle w:val="Heading2"/><w:spacing w:after="80" w:before="240"/></w:pPr><w:r><w:rPr><w:rFonts w:ascii="Arial" w:cs="Arial" w:eastAsia="Arial" w:hAnsi="Arial"/><w:b/><w:bCs/><w:sz w:val="24"/><w:szCs w:val="24"/></w:rPr><w:t xml:space="preserve">6.2 Occupancy Covenant</w:t></w:r></w:p><w:p><w:pPr><w:spacing w:after="60" w:before="60"/><w:ind/></w:pPr><w:r><w:rPr><w:rFonts w:ascii="Arial" w:cs="Arial" w:eastAsia="Arial" w:hAnsi="Arial"/><w:sz w:val="20"/><w:szCs w:val="20"/></w:rPr><w:t xml:space="preserve">(a) Minimum Occupancy. Borrower shall maintain Occupancy of not less than eighty-seven percent (87%) of the total residential units in the Property (240 units), measured as of the last day of each calendar month.</w:t></w:r></w:p><w:p><w:pPr><w:spacing w:after="60" w:before="60"/><w:ind/></w:pPr><w:r><w:rPr><w:rFonts w:ascii="Arial" w:cs="Arial" w:eastAsia="Arial" w:hAnsi="Arial"/><w:sz w:val="20"/><w:szCs w:val="20"/></w:rPr><w:t xml:space="preserve">(b) Renovation Exclusion. For purposes of calculating Occupancy, units that are actively under renovation pursuant to the Renovation Program shall be excluded from the total unit count, provided that the number of excluded units shall not exceed twenty (20) at any one time without Lender&apos;s prior written consent.</w:t></w:r></w:p><w:p><w:pPr><w:spacing w:after="60" w:before="60"/><w:ind/></w:pPr><w:r><w:rPr><w:rFonts w:ascii="Arial" w:cs="Arial" w:eastAsia="Arial" w:hAnsi="Arial"/><w:sz w:val="20"/><w:szCs w:val="20"/></w:rPr><w:t xml:space="preserve">(c) Occupancy Reporting. Borrower shall deliver to Lender, not later than the fifteenth (15th) day of each month, a certified rent roll reflecting Occupancy as of the last day of the preceding month.</w:t></w:r></w:p><w:p><w:pPr><w:pStyle w:val="Heading2"/><w:spacing w:after="80" w:before="240"/></w:pPr><w:r><w:rPr><w:rFonts w:ascii="Arial" w:cs="Arial" w:eastAsia="Arial" w:hAnsi="Arial"/><w:b/><w:bCs/><w:sz w:val="24"/><w:szCs w:val="24"/></w:rPr><w:t xml:space="preserve">6.3 Debt Yield</w:t></w:r></w:p><w:p><w:pPr><w:spacing w:after="60" w:before="60"/><w:ind/></w:pPr><w:r><w:rPr><w:rFonts w:ascii="Arial" w:cs="Arial" w:eastAsia="Arial" w:hAnsi="Arial"/><w:sz w:val="20"/><w:szCs w:val="20"/></w:rPr><w:t xml:space="preserve">As an additional covenant, Borrower shall maintain a debt yield (calculated as Net Operating Income divided by the outstanding principal balance of the Loan) of not less than seven percent (7.0%) as of each Quarterly Test Date.</w:t></w:r></w:p><w:p><w:r><w:br w:type="page"/></w:r></w:p><w:p><w:pPr><w:pStyle w:val="Heading1"/><w:spacing w:after="120" w:before="360"/></w:pPr><w:r><w:rPr><w:rFonts w:ascii="Arial" w:cs="Arial" w:eastAsia="Arial" w:hAnsi="Arial"/><w:b/><w:bCs/><w:sz w:val="28"/><w:szCs w:val="28"/></w:rPr><w:t xml:space="preserve">ARTICLE 7
NEGATIVE COVENANTS</w:t></w:r></w:p><w:p><w:pPr><w:spacing w:after="60" w:before="60"/><w:ind/></w:pPr><w:r><w:rPr><w:rFonts w:ascii="Arial" w:cs="Arial" w:eastAsia="Arial" w:hAnsi="Arial"/><w:sz w:val="20"/><w:szCs w:val="20"/></w:rPr><w:t xml:space="preserve">Borrower covenants and agrees that, from and after the Closing Date and until the Loan is paid in full, without the prior written consent of Lender:</w:t></w:r></w:p><w:p><w:pPr><w:pStyle w:val="Heading2"/><w:spacing w:after="80" w:before="240"/></w:pPr><w:r><w:rPr><w:rFonts w:ascii="Arial" w:cs="Arial" w:eastAsia="Arial" w:hAnsi="Arial"/><w:b/><w:bCs/><w:sz w:val="24"/><w:szCs w:val="24"/></w:rPr><w:t xml:space="preserve">7.1 No Additional Debt</w:t></w:r></w:p><w:p><w:pPr><w:spacing w:after="60" w:before="60"/><w:ind/></w:pPr><w:r><w:rPr><w:rFonts w:ascii="Arial" w:cs="Arial" w:eastAsia="Arial" w:hAnsi="Arial"/><w:sz w:val="20"/><w:szCs w:val="20"/></w:rPr><w:t xml:space="preserve">Borrower shall not incur, assume, guarantee, or otherwise become liable for any additional indebtedness, other than trade payables in the ordinary course of business with a maturity of not more than ninety (90) days.</w:t></w:r></w:p><w:p><w:pPr><w:pStyle w:val="Heading2"/><w:spacing w:after="80" w:before="240"/></w:pPr><w:r><w:rPr><w:rFonts w:ascii="Arial" w:cs="Arial" w:eastAsia="Arial" w:hAnsi="Arial"/><w:b/><w:bCs/><w:sz w:val="24"/><w:szCs w:val="24"/></w:rPr><w:t xml:space="preserve">7.2 No Transfers</w:t></w:r></w:p><w:p><w:pPr><w:spacing w:after="60" w:before="60"/><w:ind/></w:pPr><w:r><w:rPr><w:rFonts w:ascii="Arial" w:cs="Arial" w:eastAsia="Arial" w:hAnsi="Arial"/><w:sz w:val="20"/><w:szCs w:val="20"/></w:rPr><w:t xml:space="preserve">Borrower shall not sell, assign, transfer, convey, or otherwise dispose of the Property or any interest therein, or any direct or indirect ownership interest in Borrower, without Lender&apos;s prior written consent, which may be granted or withheld in Lender&apos;s sole and absolute discretion; provided, however, that transfers of indirect ownership interests among existing members of Meridian Capital Group LLC shall be permitted with prior written notice to Lender.</w:t></w:r></w:p><w:p><w:pPr><w:pStyle w:val="Heading2"/><w:spacing w:after="80" w:before="240"/></w:pPr><w:r><w:rPr><w:rFonts w:ascii="Arial" w:cs="Arial" w:eastAsia="Arial" w:hAnsi="Arial"/><w:b/><w:bCs/><w:sz w:val="24"/><w:szCs w:val="24"/></w:rPr><w:t xml:space="preserve">7.3 No Structural Modifications</w:t></w:r></w:p><w:p><w:pPr><w:spacing w:after="60" w:before="60"/><w:ind/></w:pPr><w:r><w:rPr><w:rFonts w:ascii="Arial" w:cs="Arial" w:eastAsia="Arial" w:hAnsi="Arial"/><w:sz w:val="20"/><w:szCs w:val="20"/></w:rPr><w:t xml:space="preserve">Borrower shall not make any structural modifications, alterations, or demolition of any portion of the Property without Lender&apos;s prior written consent, except for routine maintenance and repairs and renovation activities expressly authorized under the Approved Annual Budget.</w:t></w:r></w:p><w:p><w:pPr><w:pStyle w:val="Heading2"/><w:spacing w:after="80" w:before="240"/></w:pPr><w:r><w:rPr><w:rFonts w:ascii="Arial" w:cs="Arial" w:eastAsia="Arial" w:hAnsi="Arial"/><w:b/><w:bCs/><w:sz w:val="24"/><w:szCs w:val="24"/></w:rPr><w:t xml:space="preserve">7.4 No Change in Property Manager</w:t></w:r></w:p><w:p><w:pPr><w:spacing w:after="60" w:before="60"/><w:ind/></w:pPr><w:r><w:rPr><w:rFonts w:ascii="Arial" w:cs="Arial" w:eastAsia="Arial" w:hAnsi="Arial"/><w:sz w:val="20"/><w:szCs w:val="20"/></w:rPr><w:t xml:space="preserve">Borrower shall not change the Property Manager or materially modify the terms of the Property Management Agreement without Lender&apos;s prior written approval.</w:t></w:r></w:p><w:p><w:r><w:br w:type="page"/></w:r></w:p><w:p><w:pPr><w:pStyle w:val="Heading1"/><w:spacing w:after="120" w:before="360"/></w:pPr><w:r><w:rPr><w:rFonts w:ascii="Arial" w:cs="Arial" w:eastAsia="Arial" w:hAnsi="Arial"/><w:b/><w:bCs/><w:sz w:val="28"/><w:szCs w:val="28"/></w:rPr><w:t xml:space="preserve">ARTICLE 8
EVENTS OF DEFAULT AND REMEDIES</w:t></w:r></w:p><w:p><w:pPr><w:pStyle w:val="Heading2"/><w:spacing w:after="80" w:before="240"/></w:pPr><w:r><w:rPr><w:rFonts w:ascii="Arial" w:cs="Arial" w:eastAsia="Arial" w:hAnsi="Arial"/><w:b/><w:bCs/><w:sz w:val="24"/><w:szCs w:val="24"/></w:rPr><w:t xml:space="preserve">8.1 Events of Default</w:t></w:r></w:p><w:p><w:pPr><w:spacing w:after="60" w:before="60"/><w:ind/></w:pPr><w:r><w:rPr><w:rFonts w:ascii="Arial" w:cs="Arial" w:eastAsia="Arial" w:hAnsi="Arial"/><w:sz w:val="20"/><w:szCs w:val="20"/></w:rPr><w:t xml:space="preserve">Each of the following shall constitute an &quot;Event of Default&quot; under this Agreement:</w:t></w:r></w:p><w:p><w:pPr><w:spacing w:after="60" w:before="60"/><w:ind w:left="720"/></w:pPr><w:r><w:rPr><w:rFonts w:ascii="Arial" w:cs="Arial" w:eastAsia="Arial" w:hAnsi="Arial"/><w:sz w:val="20"/><w:szCs w:val="20"/></w:rPr><w:t xml:space="preserve">(a) Payment Default. Failure by Borrower to pay any principal, interest, or other amount due under the Loan Documents when and as due, and such failure continues for five (5) Business Days after the applicable due date.</w:t></w:r></w:p><w:p><w:pPr><w:spacing w:after="60" w:before="60"/><w:ind w:left="720"/></w:pPr><w:r><w:rPr><w:rFonts w:ascii="Arial" w:cs="Arial" w:eastAsia="Arial" w:hAnsi="Arial"/><w:sz w:val="20"/><w:szCs w:val="20"/></w:rPr><w:t xml:space="preserve">(b) Financial Covenant Default. Failure by Borrower to comply with the minimum Debt Service Coverage Ratio covenant set forth in Section 6.1 or the Occupancy covenant set forth in Section 6.2, and such failure is not cured within the applicable DSCR Cure Period or ninety (90) day cure period, as applicable.</w:t></w:r></w:p><w:p><w:pPr><w:spacing w:after="60" w:before="60"/><w:ind w:left="720"/></w:pPr><w:r><w:rPr><w:rFonts w:ascii="Arial" w:cs="Arial" w:eastAsia="Arial" w:hAnsi="Arial"/><w:sz w:val="20"/><w:szCs w:val="20"/></w:rPr><w:t xml:space="preserve">(c) Reporting Default. Failure by Borrower to deliver any report, certificate, or other document required under this Agreement, and such failure continues for fifteen (15) Business Days after written notice from Lender.</w:t></w:r></w:p><w:p><w:pPr><w:spacing w:after="60" w:before="60"/><w:ind w:left="720"/></w:pPr><w:r><w:rPr><w:rFonts w:ascii="Arial" w:cs="Arial" w:eastAsia="Arial" w:hAnsi="Arial"/><w:sz w:val="20"/><w:szCs w:val="20"/></w:rPr><w:t xml:space="preserve">(d) Covenant Default. Failure by Borrower to observe or perform any other covenant or obligation under the Loan Documents (other than a payment default or reporting default), and such failure continues for thirty (30) days after written notice from Lender; provided that, if such failure cannot reasonably be cured within such thirty (30) day period, Borrower shall have an additional sixty (60) days to cure, so long as Borrower has commenced and is diligently pursuing such cure.</w:t></w:r></w:p><w:p><w:pPr><w:spacing w:after="60" w:before="60"/><w:ind w:left="720"/></w:pPr><w:r><w:rPr><w:rFonts w:ascii="Arial" w:cs="Arial" w:eastAsia="Arial" w:hAnsi="Arial"/><w:sz w:val="20"/><w:szCs w:val="20"/></w:rPr><w:t xml:space="preserve">(e) Insolvency. The commencement of any voluntary or involuntary bankruptcy, insolvency, receivership, or similar proceeding by or against Borrower or Guarantor, or Borrower&apos;s or Guarantor&apos;s assignment for the benefit of creditors or general inability to pay its debts as they come due.</w:t></w:r></w:p><w:p><w:pPr><w:spacing w:after="60" w:before="60"/><w:ind w:left="720"/></w:pPr><w:r><w:rPr><w:rFonts w:ascii="Arial" w:cs="Arial" w:eastAsia="Arial" w:hAnsi="Arial"/><w:sz w:val="20"/><w:szCs w:val="20"/></w:rPr><w:t xml:space="preserve">(f) Material Adverse Change. The occurrence of any event or condition that has, or is reasonably likely to have, a material adverse effect on the business, operations, financial condition, or prospects of Borrower or the Property.</w:t></w:r></w:p><w:p><w:pPr><w:spacing w:after="60" w:before="60"/><w:ind w:left="720"/></w:pPr><w:r><w:rPr><w:rFonts w:ascii="Arial" w:cs="Arial" w:eastAsia="Arial" w:hAnsi="Arial"/><w:sz w:val="20"/><w:szCs w:val="20"/></w:rPr><w:t xml:space="preserve">(g) Guaranty Default. Any default by Guarantor under the Guaranty beyond any applicable cure period.</w:t></w:r></w:p><w:p><w:pPr><w:pStyle w:val="Heading2"/><w:spacing w:after="80" w:before="240"/></w:pPr><w:r><w:rPr><w:rFonts w:ascii="Arial" w:cs="Arial" w:eastAsia="Arial" w:hAnsi="Arial"/><w:b/><w:bCs/><w:sz w:val="24"/><w:szCs w:val="24"/></w:rPr><w:t xml:space="preserve">8.2 Remedies</w:t></w:r></w:p><w:p><w:pPr><w:spacing w:after="60" w:before="60"/><w:ind/></w:pPr><w:r><w:rPr><w:rFonts w:ascii="Arial" w:cs="Arial" w:eastAsia="Arial" w:hAnsi="Arial"/><w:sz w:val="20"/><w:szCs w:val="20"/></w:rPr><w:t xml:space="preserve">Upon the occurrence and during the continuance of an Event of Default, Lender shall have the following rights and remedies, in addition to all other rights and remedies available at law or in equity: (i) declare the entire outstanding principal balance of the Loan, together with all accrued interest and other amounts due under the Loan Documents, immediately due and payable; (ii) exercise all rights and remedies under the Deed of Trust and other Loan Documents, including the right to foreclose on the Property; (iii) apply any amounts on deposit in any reserve account to reduce the outstanding balance of the Loan; and (iv) exercise all other rights of a secured creditor under the Uniform Commercial Code and applicable law. No remedy set forth herein is intended to be exclusive, and each remedy shall be in addition to every other remedy available at law or in equity.</w:t></w:r></w:p><w:p><w:r><w:br w:type="page"/></w:r></w:p><w:p><w:pPr><w:pStyle w:val="Heading1"/><w:spacing w:after="120" w:before="360"/></w:pPr><w:r><w:rPr><w:rFonts w:ascii="Arial" w:cs="Arial" w:eastAsia="Arial" w:hAnsi="Arial"/><w:b/><w:bCs/><w:sz w:val="28"/><w:szCs w:val="28"/></w:rPr><w:t xml:space="preserve">ARTICLE 9
CASH MANAGEMENT</w:t></w:r></w:p><w:p><w:pPr><w:pStyle w:val="Heading2"/><w:spacing w:after="80" w:before="240"/></w:pPr><w:r><w:rPr><w:rFonts w:ascii="Arial" w:cs="Arial" w:eastAsia="Arial" w:hAnsi="Arial"/><w:b/><w:bCs/><w:sz w:val="24"/><w:szCs w:val="24"/></w:rPr><w:t xml:space="preserve">9.1 Lockbox Account</w:t></w:r></w:p><w:p><w:pPr><w:spacing w:after="60" w:before="60"/><w:ind/></w:pPr><w:r><w:rPr><w:rFonts w:ascii="Arial" w:cs="Arial" w:eastAsia="Arial" w:hAnsi="Arial"/><w:sz w:val="20"/><w:szCs w:val="20"/></w:rPr><w:t xml:space="preserve">Borrower shall establish and maintain the Lockbox Account with a bank approved by Lender. Borrower shall direct, and shall cause Property Manager to direct, all tenants of the Property to remit all rent payments and other amounts payable under their leases directly to the Lockbox Account. Within three (3) Business Days after the Closing Date, Borrower shall deliver to all tenants of the Property a notice directing such tenants to pay all future rent and other amounts due under their leases to the Lockbox Account.</w:t></w:r></w:p><w:p><w:pPr><w:pStyle w:val="Heading2"/><w:spacing w:after="80" w:before="240"/></w:pPr><w:r><w:rPr><w:rFonts w:ascii="Arial" w:cs="Arial" w:eastAsia="Arial" w:hAnsi="Arial"/><w:b/><w:bCs/><w:sz w:val="24"/><w:szCs w:val="24"/></w:rPr><w:t xml:space="preserve">9.2 Cash Sweep</w:t></w:r></w:p><w:p><w:pPr><w:spacing w:after="60" w:before="60"/><w:ind/></w:pPr><w:r><w:rPr><w:rFonts w:ascii="Arial" w:cs="Arial" w:eastAsia="Arial" w:hAnsi="Arial"/><w:sz w:val="20"/><w:szCs w:val="20"/></w:rPr><w:t xml:space="preserve">(a) Cash Sweep Trigger. Upon the occurrence of a Cash Sweep Trigger Event (as defined herein, including without limitation when the DSCR falls below 1.20x or Occupancy falls below 87%), Lender shall have the right, upon written notice to Borrower, to implement a &quot;cash sweep&quot; pursuant to which all available cash in the Lockbox Account, after application of the Waterfall set forth in Section 9.3 below, shall be swept by Lender into a segregated cash collateral account held by Lender (the &quot;Cash Sweep Account&quot;), to be held as additional security for the Loan and applied as determined by Lender in accordance with Section 9.4.</w:t></w:r></w:p><w:p><w:pPr><w:spacing w:after="60" w:before="60"/><w:ind/></w:pPr><w:r><w:rPr><w:rFonts w:ascii="Arial" w:cs="Arial" w:eastAsia="Arial" w:hAnsi="Arial"/><w:sz w:val="20"/><w:szCs w:val="20"/></w:rPr><w:t xml:space="preserve">(b) Cash Sweep Release. Lender shall release the balance of the Cash Sweep Account to Borrower within thirty (30) days of Borrower&apos;s written request, provided that, as of the date of such request, all Cash Sweep Release Conditions have been satisfied. The Cash Sweep Release Conditions require: (i) DSCR equal to or exceeding 1.20x for two consecutive quarters; (ii) Occupancy equal to or exceeding 90%; and (iii) no Event of Default. Notwithstanding the foregoing, Lender shall have no obligation to release any Cash Sweep Account funds if an Event of Default has occurred and is continuing.</w:t></w:r></w:p><w:p><w:pPr><w:spacing w:after="60" w:before="60"/><w:ind/></w:pPr><w:r><w:rPr><w:rFonts w:ascii="Arial" w:cs="Arial" w:eastAsia="Arial" w:hAnsi="Arial"/><w:sz w:val="20"/><w:szCs w:val="20"/></w:rPr><w:t xml:space="preserve">(c) Current Status. As of September 30, 2024, a Cash Sweep Trigger Event is in effect because the trailing twelve (12) month DSCR as of such date is 1.19x, which is below the 1.20x Cash Sweep Release threshold. Borrower is actively implementing the Renovation Program to increase NOI and satisfy the Cash Sweep Release Conditions.</w:t></w:r></w:p><w:p><w:pPr><w:pStyle w:val="Heading2"/><w:spacing w:after="80" w:before="240"/></w:pPr><w:r><w:rPr><w:rFonts w:ascii="Arial" w:cs="Arial" w:eastAsia="Arial" w:hAnsi="Arial"/><w:b/><w:bCs/><w:sz w:val="24"/><w:szCs w:val="24"/></w:rPr><w:t xml:space="preserve">9.3 Waterfall</w:t></w:r></w:p><w:p><w:pPr><w:spacing w:after="60" w:before="60"/><w:ind/></w:pPr><w:r><w:rPr><w:rFonts w:ascii="Arial" w:cs="Arial" w:eastAsia="Arial" w:hAnsi="Arial"/><w:sz w:val="20"/><w:szCs w:val="20"/></w:rPr><w:t xml:space="preserve">On each Business Day, all amounts received in the Lockbox Account shall be applied in the following order of priority (the &quot;Waterfall&quot;):</w:t></w:r></w:p><w:p><w:pPr><w:spacing w:after="60" w:before="60"/><w:ind w:left="720"/></w:pPr><w:r><w:rPr><w:rFonts w:ascii="Arial" w:cs="Arial" w:eastAsia="Arial" w:hAnsi="Arial"/><w:sz w:val="20"/><w:szCs w:val="20"/></w:rPr><w:t xml:space="preserve">FIRST: to payment of all amounts due and owing to Lender under the Loan Documents, including interest and any fees or costs;</w:t></w:r></w:p><w:p><w:pPr><w:spacing w:after="60" w:before="60"/><w:ind w:left="720"/></w:pPr><w:r><w:rPr><w:rFonts w:ascii="Arial" w:cs="Arial" w:eastAsia="Arial" w:hAnsi="Arial"/><w:sz w:val="20"/><w:szCs w:val="20"/></w:rPr><w:t xml:space="preserve">SECOND: to the Tax and Insurance Reserve, in amounts required by Lender;</w:t></w:r></w:p><w:p><w:pPr><w:spacing w:after="60" w:before="60"/><w:ind w:left="720"/></w:pPr><w:r><w:rPr><w:rFonts w:ascii="Arial" w:cs="Arial" w:eastAsia="Arial" w:hAnsi="Arial"/><w:sz w:val="20"/><w:szCs w:val="20"/></w:rPr><w:t xml:space="preserve">THIRD: to the Replacement Reserve, in the amount of $7,000 per month;</w:t></w:r></w:p><w:p><w:pPr><w:spacing w:after="60" w:before="60"/><w:ind w:left="720"/></w:pPr><w:r><w:rPr><w:rFonts w:ascii="Arial" w:cs="Arial" w:eastAsia="Arial" w:hAnsi="Arial"/><w:sz w:val="20"/><w:szCs w:val="20"/></w:rPr><w:t xml:space="preserve">FOURTH: if a Cash Sweep Trigger Event is in effect, to the Cash Sweep Account (all remaining amounts);</w:t></w:r></w:p><w:p><w:pPr><w:spacing w:after="60" w:before="60"/><w:ind w:left="720"/></w:pPr><w:r><w:rPr><w:rFonts w:ascii="Arial" w:cs="Arial" w:eastAsia="Arial" w:hAnsi="Arial"/><w:sz w:val="20"/><w:szCs w:val="20"/></w:rPr><w:t xml:space="preserve">FIFTH: if no Cash Sweep Trigger Event is in effect, to Permitted Distributions to Borrower (up to amounts required to fund approved operating expenses and Borrower&apos;s obligations under the Loan Documents); and</w:t></w:r></w:p><w:p><w:pPr><w:spacing w:after="60" w:before="60"/><w:ind w:left="720"/></w:pPr><w:r><w:rPr><w:rFonts w:ascii="Arial" w:cs="Arial" w:eastAsia="Arial" w:hAnsi="Arial"/><w:sz w:val="20"/><w:szCs w:val="20"/></w:rPr><w:t xml:space="preserve">SIXTH: if no Cash Sweep Trigger Event is in effect and all operating expenses are funded, any remaining balance shall be available for distribution to Borrower as Permitted Distributions.</w:t></w:r></w:p><w:p><w:r><w:br w:type="page"/></w:r></w:p><w:p><w:pPr><w:pStyle w:val="Heading1"/><w:spacing w:after="120" w:before="360"/></w:pPr><w:r><w:rPr><w:rFonts w:ascii="Arial" w:cs="Arial" w:eastAsia="Arial" w:hAnsi="Arial"/><w:b/><w:bCs/><w:sz w:val="28"/><w:szCs w:val="28"/></w:rPr><w:t xml:space="preserve">ARTICLE 10
INSURANCE REQUIREMENTS</w:t></w:r></w:p><w:p><w:pPr><w:pStyle w:val="Heading2"/><w:spacing w:after="80" w:before="240"/></w:pPr><w:r><w:rPr><w:rFonts w:ascii="Arial" w:cs="Arial" w:eastAsia="Arial" w:hAnsi="Arial"/><w:b/><w:bCs/><w:sz w:val="24"/><w:szCs w:val="24"/></w:rPr><w:t xml:space="preserve">10.1 Required Insurance Coverages</w:t></w:r></w:p><w:p><w:pPr><w:spacing w:after="60" w:before="60"/><w:ind/></w:pPr><w:r><w:rPr><w:rFonts w:ascii="Arial" w:cs="Arial" w:eastAsia="Arial" w:hAnsi="Arial"/><w:sz w:val="20"/><w:szCs w:val="20"/></w:rPr><w:t xml:space="preserve">Borrower shall maintain the following minimum insurance coverages throughout the Loan Term: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2500"/><w:gridCol w:w="3860"/></w:tblGrid><w:tr><0/></w:tr><w:tr><w:tc><w:tcPr><w:tcW w:type="dxa" w:w="300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Property (All Risk)</w:t></w:r></w:p></w:tc><w:tc><w:tcPr><w:tcW w:type="dxa" w:w="250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Full replacement cost value</w:t></w:r></w:p></w:tc><w:tc><w:tcPr><w:tcW w:type="dxa" w:w="386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Business interruption: 12 months min; no coinsurance</w:t></w:r></w:p></w:tc></w:tr><w:tr><w:tc><w:tcPr><w:tcW w:type="dxa" w:w="300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Commercial General Liability</w:t></w:r></w:p></w:tc><w:tc><w:tcPr><w:tcW w:type="dxa" w:w="250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$2M per occurrence / $5M aggregate</w:t></w:r></w:p></w:tc><w:tc><w:tcPr><w:tcW w:type="dxa" w:w="386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Lender named as additional insured</w:t></w:r></w:p></w:tc></w:tr><w:tr><w:tc><w:tcPr><w:tcW w:type="dxa" w:w="300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Excess/Umbrella Liability</w:t></w:r></w:p></w:tc><w:tc><w:tcPr><w:tcW w:type="dxa" w:w="250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$10M per occurrence</w:t></w:r></w:p></w:tc><w:tc><w:tcPr><w:tcW w:type="dxa" w:w="386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Follow-form to underlying GL policy</w:t></w:r></w:p></w:tc></w:tr><w:tr><w:tc><w:tcPr><w:tcW w:type="dxa" w:w="300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Workers&apos; Compensation</w:t></w:r></w:p></w:tc><w:tc><w:tcPr><w:tcW w:type="dxa" w:w="250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Statutory limits</w:t></w:r></w:p></w:tc><w:tc><w:tcPr><w:tcW w:type="dxa" w:w="386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Employer&apos;s Liability: $1M per occurrence</w:t></w:r></w:p></w:tc></w:tr><w:tr><w:tc><w:tcPr><w:tcW w:type="dxa" w:w="300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Flood Insurance</w:t></w:r></w:p></w:tc><w:tc><w:tcPr><w:tcW w:type="dxa" w:w="250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Per FEMA requirement</w:t></w:r></w:p></w:tc><w:tc><w:tcPr><w:tcW w:type="dxa" w:w="386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Required if Property in SFHA</w:t></w:r></w:p></w:tc></w:tr><w:tr><w:tc><w:tcPr><w:tcW w:type="dxa" w:w="300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Terrorism Insurance</w:t></w:r></w:p></w:tc><w:tc><w:tcPr><w:tcW w:type="dxa" w:w="250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Full replacement cost</w:t></w:r></w:p></w:tc><w:tc><w:tcPr><w:tcW w:type="dxa" w:w="386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Required if available at commercially reasonable cost</w:t></w:r></w:p></w:tc></w:tr></w:tbl><w:p><w:r><w:br w:type="page"/></w:r></w:p><w:p><w:pPr><w:pStyle w:val="Heading1"/><w:spacing w:after="120" w:before="360"/></w:pPr><w:r><w:rPr><w:rFonts w:ascii="Arial" w:cs="Arial" w:eastAsia="Arial" w:hAnsi="Arial"/><w:b/><w:bCs/><w:sz w:val="28"/><w:szCs w:val="28"/></w:rPr><w:t xml:space="preserve">SCHEDULE A
FINANCIAL REPORTING REQUIREMENTS</w:t></w:r></w:p><w:p><w:pPr><w:spacing w:after="60" w:before="60"/><w:ind/></w:pPr><w:r><w:rPr><w:rFonts w:ascii="Arial" w:cs="Arial" w:eastAsia="Arial" w:hAnsi="Arial"/><w:sz w:val="20"/><w:szCs w:val="20"/></w:rPr><w:t xml:space="preserve">Pursuant to Section 5.1 of the Loan Agreement, Borrower shall deliver the following reports and deliverables to Lender within the timeframes specified:</w:t></w:r></w:p><w:p><w:pPr><w:spacing w:after="60" w:before="0"/></w:pPr><w:r><w:t xml:space="preserve"></w:t></w:r></w:p><w:p><w:pPr><w:spacing w:after="80" w:before="160"/></w:pPr><w:r><w:rPr><w:rFonts w:ascii="Arial" w:cs="Arial" w:eastAsia="Arial" w:hAnsi="Arial"/><w:b/><w:bCs/><w:sz w:val="20"/><w:szCs w:val="20"/></w:rPr><w:t xml:space="preserve">Monthly Deliverables (due by the 15th of each month):</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0/></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Certified Rent Roll</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Monthly</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15th day of following month</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Monthly Operating Statement (P&amp;L)</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Monthly</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15th day of following month</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Occupancy Certification</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Monthly</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15th day of following month</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Renovation Progress Report</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Monthly</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15th day of following month</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Lockbox/Cash Sweep Account Statement</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Monthly</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15th day of following month</w:t></w:r></w:p></w:tc></w:tr></w:tbl><w:p><w:pPr><w:spacing w:after="60" w:before="0"/></w:pPr><w:r><w:t xml:space="preserve"></w:t></w:r></w:p><w:p><w:pPr><w:spacing w:after="80" w:before="160"/></w:pPr><w:r><w:rPr><w:rFonts w:ascii="Arial" w:cs="Arial" w:eastAsia="Arial" w:hAnsi="Arial"/><w:b/><w:bCs/><w:sz w:val="20"/><w:szCs w:val="20"/></w:rPr><w:t xml:space="preserve">Quarterly Deliverables (due within 45 days of quarter end):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0/></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DSCR Certification (Officer Certificate)</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Quarterly</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45 days after each quarter end</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Trailing 12-Month NOI Statement</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Quarterly</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45 days after each quarter end</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Leasing Activity Report (new leases, renewals, vacancies)</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Quarterly</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45 days after each quarter end</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Capital Expenditure / Renovation Draw Report</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Quarterly</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45 days after each quarter end</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Borrower / Guarantor Financial Statements</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Quarterly</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45 days after each quarter end</w:t></w:r></w:p></w:tc></w:tr></w:tbl><w:p><w:pPr><w:spacing w:after="60" w:before="0"/></w:pPr><w:r><w:t xml:space="preserve"></w:t></w:r></w:p><w:p><w:pPr><w:spacing w:after="80" w:before="160"/></w:pPr><w:r><w:rPr><w:rFonts w:ascii="Arial" w:cs="Arial" w:eastAsia="Arial" w:hAnsi="Arial"/><w:b/><w:bCs/><w:sz w:val="20"/><w:szCs w:val="20"/></w:rPr><w:t xml:space="preserve">Annual Deliverables (due within 120 days of fiscal year end):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0/></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Proposed Annual Budget (for Lender approval)</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Annual</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December 1 of preceding year</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Annual Operating Statement (audited if Lender requires)</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Annual</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120 days after fiscal year end</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Annual Portfolio-Level Financial Statements of Sponsor</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Annual</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120 days after fiscal year end</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Updated Insurance Certificates (renewals)</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Annual</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Renewal date or as required</w:t></w:r></w:p></w:tc></w:tr><w:tr><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Real Estate Tax Bills and Evidence of Payment</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Annual</w:t></w:r></w:p></w:tc><w:tc><w:tcPr><w:tcW w:type="dxa" w:w="3120"/><w:tcBorders><w:top w:val="single" w:color="CCCCCC" w:sz="1"/><w:left w:val="single" w:color="CCCCCC" w:sz="1"/><w:bottom w:val="single" w:color="CCCCCC" w:sz="1"/><w:right w:val="single" w:color="CCCCCC" w:sz="1"/></w:tcBorders><w:tcMar><w:top w:type="dxa" w:w="80"/><w:left w:type="dxa" w:w="120"/><w:bottom w:type="dxa" w:w="80"/><w:right w:type="dxa" w:w="120"/></w:tcMar></w:tcPr><w:p><w:r><w:rPr><w:rFonts w:ascii="Arial" w:cs="Arial" w:eastAsia="Arial" w:hAnsi="Arial"/><w:sz w:val="18"/><w:szCs w:val="18"/></w:rPr><w:t xml:space="preserve">Within 30 days of due date</w:t></w:r></w:p></w:tc></w:tr></w:tbl><w:p><w:pPr><w:spacing w:after="60" w:before="0"/></w:pPr><w:r><w:t xml:space="preserve"></w:t></w:r></w:p><w:p><w:pPr><w:spacing w:after="60" w:before="60"/><w:ind/></w:pPr><w:r><w:rPr><w:rFonts w:ascii="Arial" w:cs="Arial" w:eastAsia="Arial" w:hAnsi="Arial"/><w:sz w:val="20"/><w:szCs w:val="20"/></w:rPr><w:t xml:space="preserve">Borrower shall also promptly notify Lender (in no event later than five (5) Business Days) upon Borrower&apos;s becoming aware of: (i) any Event of Default or event that, with the passage of time or notice, would constitute an Event of Default; (ii) any pending or threatened litigation, governmental action, or regulatory inquiry that could reasonably be expected to have a material adverse effect on the Property or Borrower; (iii) any casualty or condemnation affecting the Property in excess of $100,000; or (iv) any material change in the physical condition of the Property.</w:t></w:r></w:p><w:p><w:r><w:br w:type="page"/></w:r></w:p><w:p><w:pPr><w:pStyle w:val="Heading1"/><w:spacing w:after="120" w:before="360"/></w:pPr><w:r><w:rPr><w:rFonts w:ascii="Arial" w:cs="Arial" w:eastAsia="Arial" w:hAnsi="Arial"/><w:b/><w:bCs/><w:sz w:val="28"/><w:szCs w:val="28"/></w:rPr><w:t xml:space="preserve">SIGNATURE PAGE</w:t></w:r></w:p><w:p><w:pPr><w:spacing w:after="60" w:before="60"/><w:ind/></w:pPr><w:r><w:rPr><w:rFonts w:ascii="Arial" w:cs="Arial" w:eastAsia="Arial" w:hAnsi="Arial"/><w:sz w:val="20"/><w:szCs w:val="20"/></w:rPr><w:t xml:space="preserve">IN WITNESS WHEREOF, the parties hereto have executed this Loan Agreement as of the date first written above.</w:t></w:r></w:p><w:p><w:pPr><w:spacing w:after="60" w:before="0"/></w:pPr><w:r><w:t xml:space="preserve"></w:t></w:r></w:p><w:p><w:pPr><w:spacing w:after="60" w:before="0"/></w:pPr><w:r><w:t xml:space="preserve"></w:t></w:r></w:p><w:p><w:pPr><w:spacing w:after="60" w:before="0"/></w:pPr><w:r><w:t xml:space="preserve"></w:t></w:r></w:p><w:p><w:pPr><w:spacing w:after="60" w:before="60"/><w:ind/></w:pPr><w:r><w:rPr><w:rFonts w:ascii="Arial" w:cs="Arial" w:eastAsia="Arial" w:hAnsi="Arial"/><w:sz w:val="20"/><w:szCs w:val="20"/></w:rPr><w:t xml:space="preserve">BORROWER:</w:t></w:r></w:p><w:p><w:pPr><w:spacing w:after="60" w:before="60"/><w:ind/></w:pPr><w:r><w:rPr><w:rFonts w:ascii="Arial" w:cs="Arial" w:eastAsia="Arial" w:hAnsi="Arial"/><w:sz w:val="20"/><w:szCs w:val="20"/></w:rPr><w:t xml:space="preserve">MERIDIAN CAPITAL HOLDINGS IV LLC,</w:t></w:r></w:p><w:p><w:pPr><w:spacing w:after="60" w:before="60"/><w:ind/></w:pPr><w:r><w:rPr><w:rFonts w:ascii="Arial" w:cs="Arial" w:eastAsia="Arial" w:hAnsi="Arial"/><w:sz w:val="20"/><w:szCs w:val="20"/></w:rPr><w:t xml:space="preserve">a Delaware limited liability company</w:t></w:r></w:p><w:p><w:pPr><w:spacing w:after="60" w:before="0"/></w:pPr><w:r><w:t xml:space="preserve"></w:t></w:r></w:p><w:p><w:pPr><w:spacing w:after="60" w:before="0"/></w:pPr><w:r><w:t xml:space="preserve"></w:t></w:r></w:p><w:p><w:pPr><w:spacing w:after="60" w:before="60"/><w:ind/></w:pPr><w:r><w:rPr><w:rFonts w:ascii="Arial" w:cs="Arial" w:eastAsia="Arial" w:hAnsi="Arial"/><w:sz w:val="20"/><w:szCs w:val="20"/></w:rPr><w:t xml:space="preserve">By: ___________________________________</w:t></w:r></w:p><w:p><w:pPr><w:spacing w:after="60" w:before="60"/><w:ind/></w:pPr><w:r><w:rPr><w:rFonts w:ascii="Arial" w:cs="Arial" w:eastAsia="Arial" w:hAnsi="Arial"/><w:sz w:val="20"/><w:szCs w:val="20"/></w:rPr><w:t xml:space="preserve">Name: James T. Harrington</w:t></w:r></w:p><w:p><w:pPr><w:spacing w:after="60" w:before="60"/><w:ind/></w:pPr><w:r><w:rPr><w:rFonts w:ascii="Arial" w:cs="Arial" w:eastAsia="Arial" w:hAnsi="Arial"/><w:sz w:val="20"/><w:szCs w:val="20"/></w:rPr><w:t xml:space="preserve">Title: Authorized Manager</w:t></w:r></w:p><w:p><w:pPr><w:spacing w:after="60" w:before="60"/><w:ind/></w:pPr><w:r><w:rPr><w:rFonts w:ascii="Arial" w:cs="Arial" w:eastAsia="Arial" w:hAnsi="Arial"/><w:sz w:val="20"/><w:szCs w:val="20"/></w:rPr><w:t xml:space="preserve">Date: March 15, 2024</w:t></w:r></w:p><w:p><w:pPr><w:spacing w:after="60" w:before="0"/></w:pPr><w:r><w:t xml:space="preserve"></w:t></w:r></w:p><w:p><w:pPr><w:spacing w:after="60" w:before="0"/></w:pPr><w:r><w:t xml:space="preserve"></w:t></w:r></w:p><w:p><w:pPr><w:spacing w:after="60" w:before="0"/></w:pPr><w:r><w:t xml:space="preserve"></w:t></w:r></w:p><w:p><w:pPr><w:spacing w:after="60" w:before="60"/><w:ind/></w:pPr><w:r><w:rPr><w:rFonts w:ascii="Arial" w:cs="Arial" w:eastAsia="Arial" w:hAnsi="Arial"/><w:sz w:val="20"/><w:szCs w:val="20"/></w:rPr><w:t xml:space="preserve">LENDER:</w:t></w:r></w:p><w:p><w:pPr><w:spacing w:after="60" w:before="60"/><w:ind/></w:pPr><w:r><w:rPr><w:rFonts w:ascii="Arial" w:cs="Arial" w:eastAsia="Arial" w:hAnsi="Arial"/><w:sz w:val="20"/><w:szCs w:val="20"/></w:rPr><w:t xml:space="preserve">HARTWELL CAPITAL PARTNERS LLC,</w:t></w:r></w:p><w:p><w:pPr><w:spacing w:after="60" w:before="60"/><w:ind/></w:pPr><w:r><w:rPr><w:rFonts w:ascii="Arial" w:cs="Arial" w:eastAsia="Arial" w:hAnsi="Arial"/><w:sz w:val="20"/><w:szCs w:val="20"/></w:rPr><w:t xml:space="preserve">a Delaware limited liability company</w:t></w:r></w:p><w:p><w:pPr><w:spacing w:after="60" w:before="0"/></w:pPr><w:r><w:t xml:space="preserve"></w:t></w:r></w:p><w:p><w:pPr><w:spacing w:after="60" w:before="0"/></w:pPr><w:r><w:t xml:space="preserve"></w:t></w:r></w:p><w:p><w:pPr><w:spacing w:after="60" w:before="60"/><w:ind/></w:pPr><w:r><w:rPr><w:rFonts w:ascii="Arial" w:cs="Arial" w:eastAsia="Arial" w:hAnsi="Arial"/><w:sz w:val="20"/><w:szCs w:val="20"/></w:rPr><w:t xml:space="preserve">By: ___________________________________</w:t></w:r></w:p><w:p><w:pPr><w:spacing w:after="60" w:before="60"/><w:ind/></w:pPr><w:r><w:rPr><w:rFonts w:ascii="Arial" w:cs="Arial" w:eastAsia="Arial" w:hAnsi="Arial"/><w:sz w:val="20"/><w:szCs w:val="20"/></w:rPr><w:t xml:space="preserve">Name: Michael R. Hargreave</w:t></w:r></w:p><w:p><w:pPr><w:spacing w:after="60" w:before="60"/><w:ind/></w:pPr><w:r><w:rPr><w:rFonts w:ascii="Arial" w:cs="Arial" w:eastAsia="Arial" w:hAnsi="Arial"/><w:sz w:val="20"/><w:szCs w:val="20"/></w:rPr><w:t xml:space="preserve">Title: Managing Director</w:t></w:r></w:p><w:p><w:pPr><w:spacing w:after="60" w:before="60"/><w:ind/></w:pPr><w:r><w:rPr><w:rFonts w:ascii="Arial" w:cs="Arial" w:eastAsia="Arial" w:hAnsi="Arial"/><w:sz w:val="20"/><w:szCs w:val="20"/></w:rPr><w:t xml:space="preserve">Date: March 15, 2024</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Cascade Ridge Apartments — Loan Agreement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pPr>
    <w:r>
      <w:rPr>
        <w:rFonts w:ascii="Arial" w:cs="Arial" w:eastAsia="Arial" w:hAnsi="Arial"/>
        <w:color w:val="444444"/>
        <w:sz w:val="16"/>
        <w:szCs w:val="16"/>
      </w:rPr>
      <w:t xml:space="preserve">LOAN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2026-03-05T20:23:25.495Z</dcterms:created>
  <dcterms:modified xsi:type="dcterms:W3CDTF">2026-03-05T20:23:25.495Z</dcterms:modified>
</cp:coreProperties>
</file>

<file path=docProps/custom.xml><?xml version="1.0" encoding="utf-8"?>
<Properties xmlns="http://schemas.openxmlformats.org/officeDocument/2006/custom-properties" xmlns:vt="http://schemas.openxmlformats.org/officeDocument/2006/docPropsVTypes"/>
</file>